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EC39" w14:textId="77777777" w:rsidR="00271BDA" w:rsidRPr="00AF77B7" w:rsidRDefault="00271BDA" w:rsidP="00324EBC">
      <w:pPr>
        <w:widowControl w:val="0"/>
        <w:autoSpaceDE w:val="0"/>
        <w:autoSpaceDN w:val="0"/>
        <w:spacing w:line="276" w:lineRule="auto"/>
        <w:jc w:val="both"/>
        <w:rPr>
          <w:rFonts w:ascii="Arial" w:hAnsi="Arial" w:cs="Arial"/>
          <w:sz w:val="20"/>
        </w:rPr>
      </w:pPr>
    </w:p>
    <w:p w14:paraId="322A2232" w14:textId="77777777" w:rsidR="00271BDA" w:rsidRPr="00AF77B7" w:rsidRDefault="00271BDA" w:rsidP="00324EBC">
      <w:pPr>
        <w:widowControl w:val="0"/>
        <w:autoSpaceDE w:val="0"/>
        <w:autoSpaceDN w:val="0"/>
        <w:spacing w:line="276" w:lineRule="auto"/>
        <w:jc w:val="both"/>
        <w:rPr>
          <w:rFonts w:ascii="Arial" w:hAnsi="Arial" w:cs="Arial"/>
          <w:sz w:val="20"/>
        </w:rPr>
      </w:pPr>
      <w:r w:rsidRPr="00AF77B7">
        <w:rPr>
          <w:rFonts w:ascii="Arial" w:hAnsi="Arial" w:cs="Arial"/>
          <w:b/>
          <w:bCs/>
          <w:noProof/>
          <w:sz w:val="24"/>
          <w:szCs w:val="24"/>
          <w:lang w:eastAsia="fr-FR"/>
        </w:rPr>
        <w:drawing>
          <wp:anchor distT="0" distB="0" distL="114300" distR="114300" simplePos="0" relativeHeight="251659264" behindDoc="0" locked="0" layoutInCell="1" allowOverlap="1" wp14:anchorId="6C04E983" wp14:editId="137F3736">
            <wp:simplePos x="0" y="0"/>
            <wp:positionH relativeFrom="column">
              <wp:posOffset>3623945</wp:posOffset>
            </wp:positionH>
            <wp:positionV relativeFrom="paragraph">
              <wp:posOffset>-495300</wp:posOffset>
            </wp:positionV>
            <wp:extent cx="998688" cy="9023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98688" cy="902335"/>
                    </a:xfrm>
                    <a:prstGeom prst="rect">
                      <a:avLst/>
                    </a:prstGeom>
                    <a:noFill/>
                  </pic:spPr>
                </pic:pic>
              </a:graphicData>
            </a:graphic>
            <wp14:sizeRelH relativeFrom="page">
              <wp14:pctWidth>0</wp14:pctWidth>
            </wp14:sizeRelH>
            <wp14:sizeRelV relativeFrom="page">
              <wp14:pctHeight>0</wp14:pctHeight>
            </wp14:sizeRelV>
          </wp:anchor>
        </w:drawing>
      </w:r>
    </w:p>
    <w:p w14:paraId="156EA9B0" w14:textId="77777777" w:rsidR="00271BDA" w:rsidRPr="00AF77B7" w:rsidRDefault="00271BDA" w:rsidP="00324EBC">
      <w:pPr>
        <w:widowControl w:val="0"/>
        <w:autoSpaceDE w:val="0"/>
        <w:autoSpaceDN w:val="0"/>
        <w:spacing w:line="276" w:lineRule="auto"/>
        <w:jc w:val="both"/>
        <w:rPr>
          <w:rFonts w:ascii="Arial" w:hAnsi="Arial" w:cs="Arial"/>
          <w:sz w:val="20"/>
        </w:rPr>
      </w:pPr>
    </w:p>
    <w:p w14:paraId="51709064" w14:textId="77777777" w:rsidR="00271BDA" w:rsidRPr="00AF77B7" w:rsidRDefault="00271BDA" w:rsidP="00324EBC">
      <w:pPr>
        <w:widowControl w:val="0"/>
        <w:autoSpaceDE w:val="0"/>
        <w:autoSpaceDN w:val="0"/>
        <w:spacing w:line="276" w:lineRule="auto"/>
        <w:jc w:val="both"/>
        <w:rPr>
          <w:rFonts w:ascii="Arial" w:hAnsi="Arial" w:cs="Arial"/>
          <w:sz w:val="20"/>
        </w:rPr>
      </w:pPr>
    </w:p>
    <w:p w14:paraId="666022CB" w14:textId="77777777" w:rsidR="00271BDA" w:rsidRPr="00AF77B7" w:rsidRDefault="00271BDA" w:rsidP="00324EBC">
      <w:pPr>
        <w:widowControl w:val="0"/>
        <w:autoSpaceDE w:val="0"/>
        <w:autoSpaceDN w:val="0"/>
        <w:spacing w:line="276" w:lineRule="auto"/>
        <w:jc w:val="both"/>
        <w:rPr>
          <w:rFonts w:ascii="Arial" w:hAnsi="Arial" w:cs="Arial"/>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95"/>
        <w:gridCol w:w="4987"/>
      </w:tblGrid>
      <w:tr w:rsidR="00271BDA" w:rsidRPr="00AF77B7" w14:paraId="2255A891" w14:textId="77777777" w:rsidTr="00A526CB">
        <w:trPr>
          <w:trHeight w:val="483"/>
        </w:trPr>
        <w:tc>
          <w:tcPr>
            <w:tcW w:w="4995" w:type="dxa"/>
          </w:tcPr>
          <w:p w14:paraId="1123B71E" w14:textId="77777777" w:rsidR="00271BDA" w:rsidRPr="00AF77B7" w:rsidRDefault="00271BDA" w:rsidP="00324EBC">
            <w:pPr>
              <w:widowControl w:val="0"/>
              <w:autoSpaceDE w:val="0"/>
              <w:autoSpaceDN w:val="0"/>
              <w:spacing w:line="276" w:lineRule="auto"/>
              <w:jc w:val="both"/>
              <w:rPr>
                <w:rFonts w:ascii="Arial" w:hAnsi="Arial" w:cs="Arial"/>
                <w:b/>
                <w:sz w:val="20"/>
              </w:rPr>
            </w:pPr>
            <w:r w:rsidRPr="00AF77B7">
              <w:rPr>
                <w:rFonts w:ascii="Arial" w:hAnsi="Arial" w:cs="Arial"/>
                <w:b/>
                <w:sz w:val="20"/>
              </w:rPr>
              <w:t>Direction de la recherche, des études, de l'évaluation et des statistiques</w:t>
            </w:r>
          </w:p>
          <w:p w14:paraId="2234A68F" w14:textId="77777777" w:rsidR="00271BDA" w:rsidRPr="00AF77B7" w:rsidRDefault="00271BDA" w:rsidP="00324EBC">
            <w:pPr>
              <w:widowControl w:val="0"/>
              <w:autoSpaceDE w:val="0"/>
              <w:autoSpaceDN w:val="0"/>
              <w:spacing w:line="276" w:lineRule="auto"/>
              <w:jc w:val="both"/>
              <w:rPr>
                <w:rFonts w:ascii="Arial" w:hAnsi="Arial" w:cs="Arial"/>
                <w:b/>
                <w:sz w:val="18"/>
              </w:rPr>
            </w:pPr>
            <w:r w:rsidRPr="00AF77B7">
              <w:rPr>
                <w:rFonts w:ascii="Arial" w:hAnsi="Arial" w:cs="Arial"/>
                <w:b/>
                <w:sz w:val="18"/>
              </w:rPr>
              <w:t>Sous-direction de l'observation de la solidarité</w:t>
            </w:r>
          </w:p>
          <w:p w14:paraId="58E67950" w14:textId="77777777" w:rsidR="00271BDA" w:rsidRPr="00AF77B7" w:rsidRDefault="00271BDA" w:rsidP="00324EBC">
            <w:pPr>
              <w:widowControl w:val="0"/>
              <w:autoSpaceDE w:val="0"/>
              <w:autoSpaceDN w:val="0"/>
              <w:jc w:val="both"/>
              <w:rPr>
                <w:rFonts w:ascii="Arial" w:hAnsi="Arial" w:cs="Arial"/>
                <w:sz w:val="18"/>
                <w:szCs w:val="16"/>
              </w:rPr>
            </w:pPr>
            <w:r w:rsidRPr="00AF77B7">
              <w:rPr>
                <w:rFonts w:ascii="Arial" w:hAnsi="Arial" w:cs="Arial"/>
                <w:sz w:val="18"/>
                <w:szCs w:val="16"/>
              </w:rPr>
              <w:t xml:space="preserve">Bureau de la lutte contre l'exclusion </w:t>
            </w:r>
          </w:p>
          <w:p w14:paraId="1CC8E933" w14:textId="77777777" w:rsidR="00271BDA" w:rsidRPr="00AF77B7" w:rsidRDefault="00271BDA" w:rsidP="00324EBC">
            <w:pPr>
              <w:widowControl w:val="0"/>
              <w:autoSpaceDE w:val="0"/>
              <w:autoSpaceDN w:val="0"/>
              <w:jc w:val="both"/>
              <w:rPr>
                <w:rFonts w:ascii="Arial" w:hAnsi="Arial" w:cs="Arial"/>
                <w:sz w:val="16"/>
                <w:szCs w:val="16"/>
              </w:rPr>
            </w:pPr>
          </w:p>
        </w:tc>
        <w:tc>
          <w:tcPr>
            <w:tcW w:w="4987" w:type="dxa"/>
          </w:tcPr>
          <w:p w14:paraId="62A71C06" w14:textId="646983BD" w:rsidR="00271BDA" w:rsidRPr="00AF77B7" w:rsidRDefault="00271BDA" w:rsidP="00324EBC">
            <w:pPr>
              <w:widowControl w:val="0"/>
              <w:autoSpaceDE w:val="0"/>
              <w:autoSpaceDN w:val="0"/>
              <w:spacing w:line="276" w:lineRule="auto"/>
              <w:ind w:left="1662"/>
              <w:jc w:val="both"/>
              <w:rPr>
                <w:rFonts w:ascii="Arial" w:hAnsi="Arial" w:cs="Arial"/>
                <w:sz w:val="20"/>
              </w:rPr>
            </w:pPr>
            <w:r w:rsidRPr="00AF77B7">
              <w:rPr>
                <w:rFonts w:ascii="Arial" w:hAnsi="Arial" w:cs="Arial"/>
                <w:sz w:val="20"/>
              </w:rPr>
              <w:t xml:space="preserve">Paris, le </w:t>
            </w:r>
            <w:r w:rsidR="0019577C">
              <w:rPr>
                <w:rFonts w:ascii="Arial" w:hAnsi="Arial" w:cs="Arial"/>
                <w:sz w:val="20"/>
              </w:rPr>
              <w:t>1</w:t>
            </w:r>
            <w:r w:rsidR="00943502">
              <w:rPr>
                <w:rFonts w:ascii="Arial" w:hAnsi="Arial" w:cs="Arial"/>
                <w:sz w:val="20"/>
              </w:rPr>
              <w:t>4</w:t>
            </w:r>
            <w:r w:rsidR="0092710A">
              <w:rPr>
                <w:rFonts w:ascii="Arial" w:hAnsi="Arial" w:cs="Arial"/>
                <w:sz w:val="20"/>
              </w:rPr>
              <w:t xml:space="preserve"> </w:t>
            </w:r>
            <w:r w:rsidR="00943502">
              <w:rPr>
                <w:rFonts w:ascii="Arial" w:hAnsi="Arial" w:cs="Arial"/>
                <w:sz w:val="20"/>
              </w:rPr>
              <w:t>juin</w:t>
            </w:r>
            <w:r>
              <w:rPr>
                <w:rFonts w:ascii="Arial" w:hAnsi="Arial" w:cs="Arial"/>
                <w:sz w:val="20"/>
              </w:rPr>
              <w:t xml:space="preserve"> 202</w:t>
            </w:r>
            <w:r w:rsidR="0092710A">
              <w:rPr>
                <w:rFonts w:ascii="Arial" w:hAnsi="Arial" w:cs="Arial"/>
                <w:sz w:val="20"/>
              </w:rPr>
              <w:t>4</w:t>
            </w:r>
          </w:p>
          <w:p w14:paraId="3FEAEB7F" w14:textId="176E5516" w:rsidR="00271BDA" w:rsidRPr="00AF77B7" w:rsidRDefault="00271BDA" w:rsidP="00324EBC">
            <w:pPr>
              <w:widowControl w:val="0"/>
              <w:autoSpaceDE w:val="0"/>
              <w:autoSpaceDN w:val="0"/>
              <w:spacing w:line="276" w:lineRule="auto"/>
              <w:ind w:left="1662"/>
              <w:jc w:val="both"/>
              <w:rPr>
                <w:rFonts w:ascii="Arial" w:hAnsi="Arial" w:cs="Arial"/>
                <w:sz w:val="20"/>
              </w:rPr>
            </w:pPr>
            <w:r>
              <w:rPr>
                <w:rFonts w:ascii="Arial" w:hAnsi="Arial" w:cs="Arial"/>
                <w:sz w:val="20"/>
              </w:rPr>
              <w:t>DREES-BLEX N° 2</w:t>
            </w:r>
            <w:r w:rsidR="0092710A">
              <w:rPr>
                <w:rFonts w:ascii="Arial" w:hAnsi="Arial" w:cs="Arial"/>
                <w:sz w:val="20"/>
              </w:rPr>
              <w:t>4</w:t>
            </w:r>
            <w:r w:rsidRPr="00AF77B7">
              <w:rPr>
                <w:rFonts w:ascii="Arial" w:hAnsi="Arial" w:cs="Arial"/>
                <w:sz w:val="20"/>
              </w:rPr>
              <w:t>_</w:t>
            </w:r>
            <w:r w:rsidR="000B3489">
              <w:rPr>
                <w:rFonts w:ascii="Arial" w:hAnsi="Arial" w:cs="Arial"/>
                <w:sz w:val="20"/>
              </w:rPr>
              <w:t>11</w:t>
            </w:r>
          </w:p>
          <w:p w14:paraId="32592E65" w14:textId="77777777" w:rsidR="00271BDA" w:rsidRPr="00AF77B7" w:rsidRDefault="00271BDA" w:rsidP="00324EBC">
            <w:pPr>
              <w:widowControl w:val="0"/>
              <w:autoSpaceDE w:val="0"/>
              <w:autoSpaceDN w:val="0"/>
              <w:spacing w:line="276" w:lineRule="auto"/>
              <w:ind w:left="1662"/>
              <w:jc w:val="both"/>
              <w:rPr>
                <w:rFonts w:ascii="Arial" w:hAnsi="Arial" w:cs="Arial"/>
                <w:sz w:val="20"/>
              </w:rPr>
            </w:pPr>
          </w:p>
        </w:tc>
      </w:tr>
    </w:tbl>
    <w:p w14:paraId="4B308E47" w14:textId="77777777" w:rsidR="00271BDA" w:rsidRPr="00AF77B7" w:rsidRDefault="00271BDA" w:rsidP="00324EBC">
      <w:pPr>
        <w:tabs>
          <w:tab w:val="left" w:pos="426"/>
          <w:tab w:val="left" w:pos="851"/>
        </w:tabs>
        <w:jc w:val="both"/>
        <w:rPr>
          <w:rFonts w:ascii="Arial" w:eastAsia="Times New Roman" w:hAnsi="Arial" w:cs="Arial"/>
          <w:sz w:val="16"/>
          <w:szCs w:val="16"/>
          <w:lang w:eastAsia="fr-FR"/>
        </w:rPr>
      </w:pPr>
      <w:r w:rsidRPr="00AF77B7">
        <w:rPr>
          <w:rFonts w:ascii="Arial" w:eastAsia="Times New Roman" w:hAnsi="Arial" w:cs="Arial"/>
          <w:sz w:val="16"/>
          <w:szCs w:val="16"/>
          <w:lang w:eastAsia="fr-FR"/>
        </w:rPr>
        <w:t>Dossier suivi par : Carole Lardoux</w:t>
      </w:r>
    </w:p>
    <w:p w14:paraId="20CF1E33" w14:textId="77777777" w:rsidR="00271BDA" w:rsidRPr="00132401" w:rsidRDefault="00271BDA" w:rsidP="00324EBC">
      <w:pPr>
        <w:tabs>
          <w:tab w:val="left" w:pos="426"/>
          <w:tab w:val="left" w:pos="851"/>
        </w:tabs>
        <w:jc w:val="both"/>
        <w:rPr>
          <w:rFonts w:ascii="Arial" w:eastAsia="Times New Roman" w:hAnsi="Arial" w:cs="Times New Roman"/>
          <w:sz w:val="16"/>
          <w:szCs w:val="20"/>
          <w:u w:val="single" w:color="0000FF"/>
          <w:lang w:eastAsia="fr-FR"/>
        </w:rPr>
      </w:pPr>
      <w:proofErr w:type="gramStart"/>
      <w:r w:rsidRPr="00AF77B7">
        <w:rPr>
          <w:rFonts w:ascii="Arial" w:eastAsia="Times New Roman" w:hAnsi="Arial" w:cs="Arial"/>
          <w:sz w:val="16"/>
          <w:szCs w:val="16"/>
          <w:lang w:eastAsia="fr-FR"/>
        </w:rPr>
        <w:t>Mail:</w:t>
      </w:r>
      <w:proofErr w:type="gramEnd"/>
      <w:r w:rsidRPr="00AF77B7">
        <w:rPr>
          <w:rFonts w:ascii="Arial" w:eastAsia="Times New Roman" w:hAnsi="Arial" w:cs="Arial"/>
          <w:sz w:val="16"/>
          <w:szCs w:val="16"/>
          <w:lang w:eastAsia="fr-FR"/>
        </w:rPr>
        <w:t xml:space="preserve"> carole.lardoux@externes</w:t>
      </w:r>
      <w:r w:rsidRPr="00AF77B7">
        <w:rPr>
          <w:rFonts w:ascii="Arial" w:eastAsia="Times New Roman" w:hAnsi="Arial" w:cs="Times New Roman"/>
          <w:sz w:val="16"/>
          <w:szCs w:val="20"/>
          <w:lang w:eastAsia="fr-FR"/>
        </w:rPr>
        <w:t xml:space="preserve">.sante.gouv.fr </w:t>
      </w:r>
    </w:p>
    <w:p w14:paraId="44C64D4A" w14:textId="77777777" w:rsidR="00271BDA" w:rsidRPr="00AF77B7" w:rsidRDefault="00271BDA" w:rsidP="00324EBC">
      <w:pPr>
        <w:tabs>
          <w:tab w:val="left" w:pos="426"/>
          <w:tab w:val="left" w:pos="851"/>
        </w:tabs>
        <w:jc w:val="both"/>
        <w:rPr>
          <w:rFonts w:ascii="Arial" w:eastAsia="Times New Roman" w:hAnsi="Arial" w:cs="Times New Roman"/>
          <w:sz w:val="16"/>
          <w:szCs w:val="20"/>
          <w:lang w:eastAsia="fr-FR"/>
        </w:rPr>
      </w:pPr>
    </w:p>
    <w:p w14:paraId="068FE3A8" w14:textId="77777777" w:rsidR="00271BDA" w:rsidRPr="00AF77B7" w:rsidRDefault="00271BDA" w:rsidP="00324EBC">
      <w:pPr>
        <w:widowControl w:val="0"/>
        <w:autoSpaceDE w:val="0"/>
        <w:autoSpaceDN w:val="0"/>
        <w:spacing w:line="276" w:lineRule="auto"/>
        <w:jc w:val="both"/>
        <w:rPr>
          <w:rFonts w:ascii="Arial" w:hAnsi="Arial" w:cs="Arial"/>
          <w:sz w:val="20"/>
        </w:rPr>
      </w:pPr>
    </w:p>
    <w:p w14:paraId="591D5A5A" w14:textId="77777777" w:rsidR="00271BDA" w:rsidRPr="00AF77B7" w:rsidRDefault="00271BDA" w:rsidP="00324EBC">
      <w:pPr>
        <w:widowControl w:val="0"/>
        <w:autoSpaceDE w:val="0"/>
        <w:autoSpaceDN w:val="0"/>
        <w:spacing w:line="276" w:lineRule="auto"/>
        <w:jc w:val="both"/>
        <w:rPr>
          <w:rFonts w:ascii="Arial" w:hAnsi="Arial" w:cs="Arial"/>
          <w:sz w:val="20"/>
        </w:rPr>
      </w:pPr>
    </w:p>
    <w:p w14:paraId="562022FC" w14:textId="1A9D8C26" w:rsidR="00271BDA" w:rsidRPr="00AF77B7" w:rsidRDefault="00271BDA" w:rsidP="00324EBC">
      <w:pPr>
        <w:spacing w:line="276" w:lineRule="auto"/>
        <w:jc w:val="both"/>
        <w:rPr>
          <w:rFonts w:eastAsia="Times New Roman"/>
          <w:b/>
          <w:sz w:val="24"/>
          <w:szCs w:val="24"/>
          <w:lang w:eastAsia="fr-FR"/>
        </w:rPr>
      </w:pPr>
      <w:r w:rsidRPr="00AF77B7">
        <w:rPr>
          <w:rFonts w:eastAsia="Times New Roman"/>
          <w:b/>
          <w:sz w:val="24"/>
          <w:szCs w:val="24"/>
          <w:lang w:eastAsia="fr-FR"/>
        </w:rPr>
        <w:t xml:space="preserve">Objet : Compte-rendu de la </w:t>
      </w:r>
      <w:r w:rsidR="007B7291">
        <w:rPr>
          <w:rFonts w:eastAsia="Times New Roman"/>
          <w:b/>
          <w:sz w:val="24"/>
          <w:szCs w:val="24"/>
          <w:lang w:eastAsia="fr-FR"/>
        </w:rPr>
        <w:t>10</w:t>
      </w:r>
      <w:r w:rsidRPr="00AF77B7">
        <w:rPr>
          <w:rFonts w:eastAsia="Times New Roman"/>
          <w:b/>
          <w:sz w:val="24"/>
          <w:szCs w:val="24"/>
          <w:vertAlign w:val="superscript"/>
          <w:lang w:eastAsia="fr-FR"/>
        </w:rPr>
        <w:t>ème</w:t>
      </w:r>
      <w:r w:rsidRPr="00AF77B7">
        <w:rPr>
          <w:rFonts w:eastAsia="Times New Roman"/>
          <w:b/>
          <w:sz w:val="24"/>
          <w:szCs w:val="24"/>
          <w:lang w:eastAsia="fr-FR"/>
        </w:rPr>
        <w:t xml:space="preserve"> réunion du groupe d’études « analyses quantitatives sur l’hébergement social et les sans-domicile » - </w:t>
      </w:r>
      <w:r w:rsidR="007B7291">
        <w:rPr>
          <w:rFonts w:eastAsia="Times New Roman"/>
          <w:b/>
          <w:sz w:val="24"/>
          <w:szCs w:val="24"/>
          <w:lang w:eastAsia="fr-FR"/>
        </w:rPr>
        <w:t>29</w:t>
      </w:r>
      <w:r>
        <w:rPr>
          <w:rFonts w:eastAsia="Times New Roman"/>
          <w:b/>
          <w:sz w:val="24"/>
          <w:szCs w:val="24"/>
          <w:lang w:eastAsia="fr-FR"/>
        </w:rPr>
        <w:t xml:space="preserve"> </w:t>
      </w:r>
      <w:r w:rsidR="007B7291">
        <w:rPr>
          <w:rFonts w:eastAsia="Times New Roman"/>
          <w:b/>
          <w:sz w:val="24"/>
          <w:szCs w:val="24"/>
          <w:lang w:eastAsia="fr-FR"/>
        </w:rPr>
        <w:t>mars 2024</w:t>
      </w:r>
    </w:p>
    <w:p w14:paraId="29EAF3CA" w14:textId="77777777" w:rsidR="00271BDA" w:rsidRDefault="00271BDA" w:rsidP="00324EBC">
      <w:pPr>
        <w:jc w:val="both"/>
      </w:pPr>
    </w:p>
    <w:p w14:paraId="359768D8" w14:textId="37297235" w:rsidR="00271BDA" w:rsidRDefault="00271BDA" w:rsidP="00324EBC">
      <w:pPr>
        <w:jc w:val="both"/>
      </w:pPr>
      <w:r>
        <w:rPr>
          <w:b/>
          <w:bCs/>
        </w:rPr>
        <w:t>Les interventions ont été les suivantes</w:t>
      </w:r>
      <w:r>
        <w:t> :</w:t>
      </w:r>
    </w:p>
    <w:p w14:paraId="0C9E05DB" w14:textId="6EF8D760" w:rsidR="0016012D" w:rsidRDefault="0016012D" w:rsidP="00324EBC">
      <w:pPr>
        <w:jc w:val="both"/>
      </w:pPr>
      <w:r>
        <w:t>- 9h40- 10h</w:t>
      </w:r>
      <w:r w:rsidR="00291EBF">
        <w:t>30</w:t>
      </w:r>
      <w:r>
        <w:t xml:space="preserve"> : </w:t>
      </w:r>
      <w:r w:rsidR="00291EBF">
        <w:t>Le logement adapté en tant que passerelle vers le logement ordinaire (</w:t>
      </w:r>
      <w:r w:rsidR="007B7291" w:rsidRPr="007B7291">
        <w:t>source ES-DS 2016 et ES-DS 2020) par Antoine Chollet</w:t>
      </w:r>
    </w:p>
    <w:p w14:paraId="25535ECE" w14:textId="6E7796B5" w:rsidR="0016012D" w:rsidRDefault="0016012D" w:rsidP="00324EBC">
      <w:pPr>
        <w:jc w:val="both"/>
      </w:pPr>
      <w:r>
        <w:t>- 10h</w:t>
      </w:r>
      <w:r w:rsidR="00291EBF">
        <w:t>30</w:t>
      </w:r>
      <w:r>
        <w:t xml:space="preserve"> – 11h</w:t>
      </w:r>
      <w:r w:rsidR="00291EBF">
        <w:t>3</w:t>
      </w:r>
      <w:r>
        <w:t xml:space="preserve">0 : </w:t>
      </w:r>
      <w:r w:rsidR="00EC0569">
        <w:t>L</w:t>
      </w:r>
      <w:r w:rsidR="007B7291" w:rsidRPr="007B7291">
        <w:t xml:space="preserve">es </w:t>
      </w:r>
      <w:r w:rsidR="00021FAD">
        <w:t>conditions de sortie de l’hébergement social</w:t>
      </w:r>
      <w:r w:rsidR="00021FAD" w:rsidRPr="007B7291">
        <w:t xml:space="preserve"> </w:t>
      </w:r>
      <w:r w:rsidR="007B7291" w:rsidRPr="007B7291">
        <w:t>(source ES-DS 2016 et ES-DS 2</w:t>
      </w:r>
      <w:r w:rsidR="00291EBF">
        <w:t>020) par Pierre-Antoine Chauvin</w:t>
      </w:r>
    </w:p>
    <w:p w14:paraId="1806714A" w14:textId="4D8E0DAB" w:rsidR="007B7291" w:rsidRDefault="0016012D" w:rsidP="007B7291">
      <w:pPr>
        <w:jc w:val="both"/>
      </w:pPr>
      <w:r>
        <w:t>- 11h</w:t>
      </w:r>
      <w:r w:rsidR="00291EBF">
        <w:t>3</w:t>
      </w:r>
      <w:r>
        <w:t>0 – 1</w:t>
      </w:r>
      <w:r w:rsidR="00291EBF">
        <w:t>2</w:t>
      </w:r>
      <w:r>
        <w:t>h</w:t>
      </w:r>
      <w:r w:rsidR="00291EBF">
        <w:t>30</w:t>
      </w:r>
      <w:r>
        <w:t xml:space="preserve"> : </w:t>
      </w:r>
      <w:r w:rsidR="00291EBF">
        <w:t>d</w:t>
      </w:r>
      <w:r w:rsidR="007B7291" w:rsidRPr="007B7291">
        <w:t xml:space="preserve">es </w:t>
      </w:r>
      <w:r w:rsidR="008619AD">
        <w:t>femmes sans domicile invisibles</w:t>
      </w:r>
      <w:r w:rsidR="007B7291">
        <w:t xml:space="preserve"> par </w:t>
      </w:r>
      <w:r w:rsidR="007B7291" w:rsidRPr="007B7291">
        <w:t>Marie Loison-Leruste</w:t>
      </w:r>
    </w:p>
    <w:p w14:paraId="4A34DB41" w14:textId="77777777" w:rsidR="007B7291" w:rsidRDefault="007B7291" w:rsidP="007B7291">
      <w:pPr>
        <w:jc w:val="both"/>
      </w:pPr>
    </w:p>
    <w:p w14:paraId="1817F628" w14:textId="5F10E93B" w:rsidR="00D01C3E" w:rsidRDefault="00D01C3E" w:rsidP="00324EBC">
      <w:pPr>
        <w:jc w:val="both"/>
      </w:pPr>
      <w:r>
        <w:t>Pour rappel, les supports de présentation ainsi que les liens vers les travaux présentés sont disponibles ici :</w:t>
      </w:r>
    </w:p>
    <w:p w14:paraId="26D0675C" w14:textId="751D784B" w:rsidR="00D01C3E" w:rsidRDefault="000D2057" w:rsidP="00324EBC">
      <w:pPr>
        <w:jc w:val="both"/>
      </w:pPr>
      <w:hyperlink r:id="rId6" w:history="1">
        <w:r w:rsidR="00D01C3E">
          <w:rPr>
            <w:rStyle w:val="Lienhypertexte"/>
          </w:rPr>
          <w:t>Groupe d'études « analyses quantitatives sur l'hébergement social et les sans-domiciles » | Direction de la recherche, des études, de l'évaluation et des statistiques (solidarites-sante.gouv.fr)</w:t>
        </w:r>
      </w:hyperlink>
    </w:p>
    <w:p w14:paraId="6004C81E" w14:textId="64BEE1C0" w:rsidR="00D01C3E" w:rsidRDefault="00D01C3E" w:rsidP="00324EBC">
      <w:pPr>
        <w:jc w:val="both"/>
      </w:pPr>
    </w:p>
    <w:p w14:paraId="79A1691A" w14:textId="77777777" w:rsidR="00F94A58" w:rsidRDefault="00791FA8" w:rsidP="00324EBC">
      <w:pPr>
        <w:jc w:val="both"/>
        <w:rPr>
          <w:b/>
          <w:caps/>
          <w:sz w:val="28"/>
          <w:szCs w:val="28"/>
          <w:u w:val="single"/>
        </w:rPr>
      </w:pPr>
      <w:r w:rsidRPr="008B1B2A">
        <w:rPr>
          <w:b/>
          <w:caps/>
          <w:sz w:val="28"/>
          <w:szCs w:val="28"/>
          <w:u w:val="single"/>
        </w:rPr>
        <w:t>Le logement adapté en tant que passerelle vers le logement ordinaire</w:t>
      </w:r>
    </w:p>
    <w:p w14:paraId="3681C244" w14:textId="00C6B8E3" w:rsidR="00791FA8" w:rsidRPr="008B1B2A" w:rsidRDefault="00F63F32" w:rsidP="00324EBC">
      <w:pPr>
        <w:jc w:val="both"/>
        <w:rPr>
          <w:b/>
          <w:caps/>
          <w:sz w:val="28"/>
          <w:szCs w:val="28"/>
          <w:u w:val="single"/>
        </w:rPr>
      </w:pPr>
      <w:r w:rsidRPr="008B1B2A">
        <w:rPr>
          <w:b/>
          <w:caps/>
          <w:sz w:val="28"/>
          <w:szCs w:val="28"/>
          <w:u w:val="single"/>
        </w:rPr>
        <w:t>2 personnes sur 5 qui quittent un logement adapté accèdent à un logement ordinaire autonome</w:t>
      </w:r>
    </w:p>
    <w:p w14:paraId="23583D30" w14:textId="77777777" w:rsidR="00E11ADA" w:rsidRDefault="00E11ADA" w:rsidP="00291EBF">
      <w:pPr>
        <w:jc w:val="both"/>
      </w:pPr>
    </w:p>
    <w:p w14:paraId="301335D3" w14:textId="5B1EA77A" w:rsidR="00291EBF" w:rsidRDefault="00291EBF" w:rsidP="00291EBF">
      <w:pPr>
        <w:jc w:val="both"/>
      </w:pPr>
      <w:r w:rsidRPr="008D6FC1">
        <w:t>Présentation par</w:t>
      </w:r>
      <w:r>
        <w:t xml:space="preserve"> </w:t>
      </w:r>
      <w:r w:rsidRPr="007B7291">
        <w:t>Antoine Chollet</w:t>
      </w:r>
      <w:r w:rsidR="00EC0569">
        <w:t xml:space="preserve"> </w:t>
      </w:r>
      <w:r>
        <w:t>– bureau lutte contre l’exclusion à la DREES</w:t>
      </w:r>
    </w:p>
    <w:p w14:paraId="20625C8F" w14:textId="77777777" w:rsidR="00E11ADA" w:rsidRDefault="00E11ADA" w:rsidP="00291EBF">
      <w:pPr>
        <w:jc w:val="both"/>
      </w:pPr>
    </w:p>
    <w:p w14:paraId="20C54841" w14:textId="7BD326EB" w:rsidR="006C6650" w:rsidRDefault="006C6650" w:rsidP="00291EBF">
      <w:pPr>
        <w:jc w:val="both"/>
      </w:pPr>
      <w:bookmarkStart w:id="0" w:name="_Hlk169257995"/>
      <w:r>
        <w:t xml:space="preserve">Les données </w:t>
      </w:r>
      <w:r w:rsidR="00943502">
        <w:t xml:space="preserve">de l’enquête ES-DS de 2021 </w:t>
      </w:r>
      <w:bookmarkEnd w:id="0"/>
      <w:r>
        <w:t>analysées permettent de préciser les caractéristiques et le parcours des personnes logées dans le logement accompagné.</w:t>
      </w:r>
    </w:p>
    <w:p w14:paraId="2D99CFD9" w14:textId="3D77EC11" w:rsidR="006C6650" w:rsidRDefault="006C6650" w:rsidP="00291EBF">
      <w:pPr>
        <w:jc w:val="both"/>
      </w:pPr>
      <w:r>
        <w:t>Sont analysées : l’âge, le sexe, la situation familiale, la nationalité, les ressources, l’emploi, les conditions de logement à l’entrée, les taux de sortie, la durée de séjour</w:t>
      </w:r>
    </w:p>
    <w:p w14:paraId="68369684" w14:textId="77777777" w:rsidR="00943502" w:rsidRDefault="00943502" w:rsidP="00943502">
      <w:pPr>
        <w:jc w:val="both"/>
      </w:pPr>
    </w:p>
    <w:p w14:paraId="70D660F2" w14:textId="0072AE48" w:rsidR="004A00C4" w:rsidRPr="004A00C4" w:rsidRDefault="00943502" w:rsidP="004A00C4">
      <w:pPr>
        <w:jc w:val="both"/>
      </w:pPr>
      <w:r>
        <w:t>Les résultats n’étant pas encore publiés, il n’est pas possible de joindre la présentation. Nous vous adresserons le lien vers les publications dès qu’il ser</w:t>
      </w:r>
      <w:r w:rsidR="00DF342D">
        <w:t>a</w:t>
      </w:r>
      <w:r>
        <w:t xml:space="preserve"> disponible. </w:t>
      </w:r>
      <w:r w:rsidR="004A00C4">
        <w:t>Et en attendant la publication officielle, vous pouvez consulter la précédente publication : LES DOSSIERS DE LA DREES - N° 81 - Paru le 13/07/2021</w:t>
      </w:r>
    </w:p>
    <w:p w14:paraId="6B521F9E" w14:textId="77777777" w:rsidR="004A00C4" w:rsidRDefault="000D2057" w:rsidP="004A00C4">
      <w:pPr>
        <w:jc w:val="both"/>
        <w:rPr>
          <w:rStyle w:val="Lienhypertexte"/>
        </w:rPr>
      </w:pPr>
      <w:hyperlink r:id="rId7" w:history="1">
        <w:r w:rsidR="004A00C4">
          <w:rPr>
            <w:rStyle w:val="Lienhypertexte"/>
          </w:rPr>
          <w:t>Le logement adapté, un tremplin vers le logement ordinaire - Caractéristiques et parcours résidentiels des personnes logées dans les foyers de jeunes travailleurs, les foyers de travailleurs migrants et les résidences sociales | Direction de la recherche, des études, de l'évaluation et des statistiques (solidarites-sante.gouv.fr)</w:t>
        </w:r>
      </w:hyperlink>
    </w:p>
    <w:p w14:paraId="7EFAA69A" w14:textId="77777777" w:rsidR="004A00C4" w:rsidRPr="008D6FC1" w:rsidRDefault="004A00C4" w:rsidP="00291EBF">
      <w:pPr>
        <w:jc w:val="both"/>
      </w:pPr>
    </w:p>
    <w:p w14:paraId="4FF60658" w14:textId="77777777" w:rsidR="0039434D" w:rsidRPr="00344028" w:rsidRDefault="0039434D" w:rsidP="0039434D">
      <w:pPr>
        <w:jc w:val="both"/>
        <w:rPr>
          <w:b/>
          <w:sz w:val="24"/>
          <w:szCs w:val="24"/>
        </w:rPr>
      </w:pPr>
      <w:r w:rsidRPr="00344028">
        <w:rPr>
          <w:b/>
          <w:sz w:val="24"/>
          <w:szCs w:val="24"/>
        </w:rPr>
        <w:t>Discussion</w:t>
      </w:r>
    </w:p>
    <w:p w14:paraId="5631BE57" w14:textId="2EAB701F" w:rsidR="00E11ADA" w:rsidRDefault="00E11ADA" w:rsidP="00791FA8">
      <w:pPr>
        <w:jc w:val="both"/>
      </w:pPr>
    </w:p>
    <w:p w14:paraId="01F91122" w14:textId="57A8E921" w:rsidR="00EC0569" w:rsidRDefault="00EC0569" w:rsidP="00791FA8">
      <w:pPr>
        <w:jc w:val="both"/>
      </w:pPr>
      <w:r>
        <w:t>Un débat est engagé concernant les effectifs présentés dans l’enquête ES-DS</w:t>
      </w:r>
      <w:r w:rsidR="00943502">
        <w:t xml:space="preserve"> au regard d’autres travaux.</w:t>
      </w:r>
    </w:p>
    <w:p w14:paraId="1612023A" w14:textId="62D918DE" w:rsidR="0023397C" w:rsidRDefault="00A704EC" w:rsidP="00791FA8">
      <w:pPr>
        <w:jc w:val="both"/>
      </w:pPr>
      <w:r>
        <w:t xml:space="preserve">L’enquête ES-DS porte sur </w:t>
      </w:r>
      <w:r w:rsidR="008B7F6D">
        <w:t xml:space="preserve">des </w:t>
      </w:r>
      <w:r w:rsidR="008B7F6D">
        <w:rPr>
          <w:rStyle w:val="ui-provider"/>
        </w:rPr>
        <w:t>stock, entrées et sorties de personnes</w:t>
      </w:r>
      <w:r w:rsidR="00455022">
        <w:rPr>
          <w:rStyle w:val="ui-provider"/>
        </w:rPr>
        <w:t xml:space="preserve"> et les sources sont FINESS et ADOMA</w:t>
      </w:r>
      <w:r w:rsidR="008B7F6D">
        <w:rPr>
          <w:rStyle w:val="ui-provider"/>
        </w:rPr>
        <w:t>.</w:t>
      </w:r>
      <w:r w:rsidR="00455022">
        <w:rPr>
          <w:rStyle w:val="ui-provider"/>
        </w:rPr>
        <w:t xml:space="preserve"> </w:t>
      </w:r>
      <w:r w:rsidR="008B7F6D">
        <w:rPr>
          <w:rStyle w:val="ui-provider"/>
        </w:rPr>
        <w:t>Le rapport annuel de l’</w:t>
      </w:r>
      <w:r w:rsidR="002F4BDC">
        <w:rPr>
          <w:rStyle w:val="ui-provider"/>
        </w:rPr>
        <w:t>UNAFO porte sur l</w:t>
      </w:r>
      <w:r w:rsidR="008B7F6D">
        <w:rPr>
          <w:rStyle w:val="ui-provider"/>
        </w:rPr>
        <w:t>es entrées et sorties</w:t>
      </w:r>
      <w:r w:rsidR="00455022">
        <w:rPr>
          <w:rStyle w:val="ui-provider"/>
        </w:rPr>
        <w:t xml:space="preserve"> </w:t>
      </w:r>
      <w:r w:rsidR="002F4BDC">
        <w:rPr>
          <w:rStyle w:val="ui-provider"/>
        </w:rPr>
        <w:t>de personnes</w:t>
      </w:r>
      <w:r w:rsidR="00C815FF">
        <w:rPr>
          <w:rStyle w:val="ui-provider"/>
        </w:rPr>
        <w:t xml:space="preserve"> </w:t>
      </w:r>
      <w:r w:rsidR="00C815FF">
        <w:t xml:space="preserve">entre le 1er janvier et le 31 décembre 2020 </w:t>
      </w:r>
      <w:r w:rsidR="00455022">
        <w:rPr>
          <w:rStyle w:val="ui-provider"/>
        </w:rPr>
        <w:t xml:space="preserve">et la source est les réponses des adhérents. </w:t>
      </w:r>
      <w:r w:rsidR="00F94A58">
        <w:t>Les chiffres de la DIHAL</w:t>
      </w:r>
      <w:r w:rsidR="008B7F6D">
        <w:t xml:space="preserve"> portent sur des places ou logements et sont issus d’un suivi mensuel des places</w:t>
      </w:r>
      <w:r w:rsidR="004A00C4">
        <w:t xml:space="preserve"> remonté par les </w:t>
      </w:r>
      <w:r w:rsidR="004A00C4" w:rsidRPr="004A00C4">
        <w:t>DDETS/DREETS/DRIHL</w:t>
      </w:r>
      <w:r w:rsidR="008B7F6D">
        <w:t>.</w:t>
      </w:r>
    </w:p>
    <w:p w14:paraId="00FAD3F3" w14:textId="62AF9B07" w:rsidR="008B7F6D" w:rsidRDefault="008B7F6D" w:rsidP="00791FA8">
      <w:pPr>
        <w:jc w:val="both"/>
      </w:pPr>
      <w:r>
        <w:t xml:space="preserve">Compte-tenu </w:t>
      </w:r>
      <w:r w:rsidR="00455022">
        <w:t>des champs différents (données individuelles</w:t>
      </w:r>
      <w:r>
        <w:t xml:space="preserve"> versus places/logements et flux</w:t>
      </w:r>
      <w:r w:rsidR="00455022">
        <w:t xml:space="preserve"> </w:t>
      </w:r>
      <w:r>
        <w:t>+</w:t>
      </w:r>
      <w:r w:rsidR="00455022">
        <w:t xml:space="preserve"> </w:t>
      </w:r>
      <w:r>
        <w:t>stock versus flux), il serait intéressant de voir s’il est possible de faire des comparaisons.</w:t>
      </w:r>
    </w:p>
    <w:p w14:paraId="05DB4F16" w14:textId="43BFE2C0" w:rsidR="00F94A58" w:rsidRDefault="00943502" w:rsidP="00791FA8">
      <w:pPr>
        <w:jc w:val="both"/>
      </w:pPr>
      <w:r>
        <w:lastRenderedPageBreak/>
        <w:t>Ainsi l</w:t>
      </w:r>
      <w:r w:rsidR="00F94A58">
        <w:t>e rapport annuel de 2021 de l’UNAFO porte sur 26 444 entrées et 25 409 sorties relatives à un parc de plus de 125 000 logements, représentant plus de 80 % du parc total des adhérents de l’UNAFO.</w:t>
      </w:r>
    </w:p>
    <w:p w14:paraId="7DF03910" w14:textId="6CBBE2CC" w:rsidR="008B7F6D" w:rsidRDefault="008B7F6D" w:rsidP="00791FA8">
      <w:pPr>
        <w:jc w:val="both"/>
      </w:pPr>
      <w:r>
        <w:t xml:space="preserve">Les sources </w:t>
      </w:r>
      <w:proofErr w:type="spellStart"/>
      <w:r>
        <w:t>SELFy</w:t>
      </w:r>
      <w:proofErr w:type="spellEnd"/>
      <w:r>
        <w:t xml:space="preserve"> (</w:t>
      </w:r>
      <w:r w:rsidRPr="008B7F6D">
        <w:t>système d’enregistrement des logements-foyers</w:t>
      </w:r>
      <w:r>
        <w:t>)</w:t>
      </w:r>
      <w:r w:rsidRPr="008B7F6D">
        <w:t xml:space="preserve"> </w:t>
      </w:r>
      <w:r>
        <w:t xml:space="preserve">et SI SIAO (système d’information des services intégrés d’accueil et d’orientation) ne sont malheureusement pas exploitables actuellement. </w:t>
      </w:r>
    </w:p>
    <w:p w14:paraId="7016DBDB" w14:textId="3C2B0511" w:rsidR="0023397C" w:rsidRDefault="0023397C" w:rsidP="00791FA8">
      <w:pPr>
        <w:jc w:val="both"/>
      </w:pPr>
    </w:p>
    <w:p w14:paraId="087E0CFF" w14:textId="2877A93D" w:rsidR="00A704EC" w:rsidRDefault="00A704EC" w:rsidP="00791FA8">
      <w:pPr>
        <w:jc w:val="both"/>
      </w:pPr>
      <w:proofErr w:type="spellStart"/>
      <w:r>
        <w:t>A</w:t>
      </w:r>
      <w:proofErr w:type="spellEnd"/>
      <w:r>
        <w:t xml:space="preserve"> noter que l’année 2020 est particulière à cause du Covid qui a occasionné moins d’entrées et moins de sorties de personnes et plus de prises en charge dans certains dispositifs.</w:t>
      </w:r>
    </w:p>
    <w:p w14:paraId="0436AA49" w14:textId="297E8A98" w:rsidR="00A704EC" w:rsidRDefault="00A704EC" w:rsidP="00A704EC">
      <w:pPr>
        <w:jc w:val="both"/>
        <w:rPr>
          <w:rStyle w:val="ui-provider"/>
        </w:rPr>
      </w:pPr>
      <w:r>
        <w:t xml:space="preserve">Il y a peut-être un effet sur les durées de séjour mais celui-ci n’a pas été mesuré. Ce qui est visible dans l’enquête ES-DS, ce sont des </w:t>
      </w:r>
      <w:r>
        <w:rPr>
          <w:rStyle w:val="ui-provider"/>
        </w:rPr>
        <w:t xml:space="preserve">sorties </w:t>
      </w:r>
      <w:r w:rsidR="00943502">
        <w:rPr>
          <w:rStyle w:val="ui-provider"/>
        </w:rPr>
        <w:t>au</w:t>
      </w:r>
      <w:r>
        <w:rPr>
          <w:rStyle w:val="ui-provider"/>
        </w:rPr>
        <w:t xml:space="preserve"> lendemain du confinement et peu de mouvements pendant le confinement.</w:t>
      </w:r>
    </w:p>
    <w:p w14:paraId="19842370" w14:textId="500CF2F1" w:rsidR="00A704EC" w:rsidRDefault="00A704EC" w:rsidP="00A704EC">
      <w:pPr>
        <w:jc w:val="both"/>
        <w:rPr>
          <w:rStyle w:val="ui-provider"/>
        </w:rPr>
      </w:pPr>
      <w:r>
        <w:rPr>
          <w:rStyle w:val="ui-provider"/>
        </w:rPr>
        <w:t>L’UNAFO a constaté dans son rapport annuel sur les entrées et sorties des personnes, que l’année 2020 était particulière avec</w:t>
      </w:r>
      <w:r w:rsidR="002F4BDC">
        <w:rPr>
          <w:rStyle w:val="ui-provider"/>
        </w:rPr>
        <w:t xml:space="preserve"> un impact sur les durées d’occupation</w:t>
      </w:r>
      <w:r>
        <w:rPr>
          <w:rStyle w:val="ui-provider"/>
        </w:rPr>
        <w:t>. Ainsi les chiffres de 2020 ne sont pas représentatifs des années antérieures.</w:t>
      </w:r>
    </w:p>
    <w:p w14:paraId="3D5AA09C" w14:textId="7697A36F" w:rsidR="00A704EC" w:rsidRDefault="00A704EC" w:rsidP="00A704EC">
      <w:pPr>
        <w:jc w:val="both"/>
        <w:rPr>
          <w:rStyle w:val="ui-provider"/>
        </w:rPr>
      </w:pPr>
      <w:r>
        <w:rPr>
          <w:rStyle w:val="ui-provider"/>
        </w:rPr>
        <w:t>Même si le champ est différent entre ES-DS (stock, entrées et sorties) et l’UNAFO (entrées et sorties), on peut dire que 2020 est une année particulière.</w:t>
      </w:r>
    </w:p>
    <w:p w14:paraId="7E2F58B3" w14:textId="77777777" w:rsidR="004A00C4" w:rsidRDefault="004A00C4" w:rsidP="00A704EC">
      <w:pPr>
        <w:jc w:val="both"/>
        <w:rPr>
          <w:rStyle w:val="ui-provider"/>
        </w:rPr>
      </w:pPr>
    </w:p>
    <w:p w14:paraId="23436E67" w14:textId="45467B4D" w:rsidR="00A704EC" w:rsidRDefault="00A704EC" w:rsidP="00A704EC">
      <w:pPr>
        <w:jc w:val="both"/>
        <w:rPr>
          <w:rStyle w:val="ui-provider"/>
        </w:rPr>
      </w:pPr>
      <w:r>
        <w:rPr>
          <w:rStyle w:val="ui-provider"/>
        </w:rPr>
        <w:t>Lien vers les rapports de l’UNAFO</w:t>
      </w:r>
      <w:r w:rsidR="00C02E1A">
        <w:rPr>
          <w:rStyle w:val="ui-provider"/>
        </w:rPr>
        <w:t> :</w:t>
      </w:r>
    </w:p>
    <w:p w14:paraId="6CEF2E05" w14:textId="77777777" w:rsidR="00A704EC" w:rsidRDefault="000D2057" w:rsidP="00A704EC">
      <w:pPr>
        <w:jc w:val="both"/>
        <w:rPr>
          <w:rStyle w:val="ui-provider"/>
        </w:rPr>
      </w:pPr>
      <w:hyperlink r:id="rId8" w:history="1">
        <w:r w:rsidR="00A704EC" w:rsidRPr="00C93288">
          <w:rPr>
            <w:rStyle w:val="Lienhypertexte"/>
          </w:rPr>
          <w:t>https://www.unafo.org/centre-de-ressources/les-chiffres-de-lunafo/</w:t>
        </w:r>
      </w:hyperlink>
    </w:p>
    <w:p w14:paraId="2EC57665" w14:textId="796AB50C" w:rsidR="00A704EC" w:rsidRDefault="000D2057" w:rsidP="00A704EC">
      <w:pPr>
        <w:jc w:val="both"/>
        <w:rPr>
          <w:rStyle w:val="Lienhypertexte"/>
        </w:rPr>
      </w:pPr>
      <w:hyperlink r:id="rId9" w:history="1">
        <w:r w:rsidR="00A704EC" w:rsidRPr="00C93288">
          <w:rPr>
            <w:rStyle w:val="Lienhypertexte"/>
          </w:rPr>
          <w:t>https://www.unafo.org/centre-de-ressources/profils-et-parcours-des-personnes-logees-edition-2023/</w:t>
        </w:r>
      </w:hyperlink>
    </w:p>
    <w:p w14:paraId="0DB08E77" w14:textId="43F68633" w:rsidR="004A00C4" w:rsidRDefault="004A00C4" w:rsidP="00A704EC">
      <w:pPr>
        <w:jc w:val="both"/>
      </w:pPr>
      <w:r w:rsidRPr="004A00C4">
        <w:t>Liens vers les publications de la DIHAL</w:t>
      </w:r>
      <w:r w:rsidR="00C02E1A">
        <w:t> :</w:t>
      </w:r>
    </w:p>
    <w:p w14:paraId="70EEE53E" w14:textId="5FC45E5D" w:rsidR="004A00C4" w:rsidRDefault="000D2057" w:rsidP="00A704EC">
      <w:pPr>
        <w:jc w:val="both"/>
      </w:pPr>
      <w:hyperlink r:id="rId10" w:history="1">
        <w:r w:rsidR="004A00C4">
          <w:rPr>
            <w:rStyle w:val="Lienhypertexte"/>
          </w:rPr>
          <w:t>Le Plan Logement d’Abord 2018-2022 | info.gouv.fr (gouvernement.fr)</w:t>
        </w:r>
      </w:hyperlink>
    </w:p>
    <w:p w14:paraId="605CB1FD" w14:textId="3ADA335A" w:rsidR="004A00C4" w:rsidRDefault="000D2057" w:rsidP="00A704EC">
      <w:pPr>
        <w:jc w:val="both"/>
      </w:pPr>
      <w:hyperlink r:id="rId11" w:history="1">
        <w:r w:rsidR="004A00C4">
          <w:rPr>
            <w:rStyle w:val="Lienhypertexte"/>
          </w:rPr>
          <w:t>Chiffres clés | info.gouv.fr (gouvernement.fr)</w:t>
        </w:r>
      </w:hyperlink>
    </w:p>
    <w:p w14:paraId="3013D87A" w14:textId="046499F0" w:rsidR="004A00C4" w:rsidRDefault="004A00C4" w:rsidP="00A704EC">
      <w:pPr>
        <w:jc w:val="both"/>
      </w:pPr>
    </w:p>
    <w:p w14:paraId="2B6E3A26" w14:textId="77777777" w:rsidR="00943502" w:rsidRDefault="00943502" w:rsidP="00791FA8">
      <w:pPr>
        <w:jc w:val="both"/>
      </w:pPr>
      <w:r>
        <w:t xml:space="preserve">La question est posée du poids d’Adoma parmi les </w:t>
      </w:r>
      <w:r w:rsidR="00DF25AA">
        <w:t>données de l’enquête ES-DS</w:t>
      </w:r>
      <w:r>
        <w:t>. Celui-ci est</w:t>
      </w:r>
      <w:r w:rsidR="00DF25AA">
        <w:t xml:space="preserve"> important. </w:t>
      </w:r>
    </w:p>
    <w:p w14:paraId="70D360C4" w14:textId="77777777" w:rsidR="00943502" w:rsidRDefault="00DF25AA" w:rsidP="00791FA8">
      <w:pPr>
        <w:jc w:val="both"/>
      </w:pPr>
      <w:r>
        <w:t xml:space="preserve">Pour l’enquête ES-DS, les données brutes sont transmises directement par Adoma mais elles sont lacunaires et il y a des problèmes de correspondance entre les nomenclatures. </w:t>
      </w:r>
    </w:p>
    <w:p w14:paraId="53AB1BAA" w14:textId="3EB9969A" w:rsidR="00DF25AA" w:rsidRDefault="00DF25AA" w:rsidP="00791FA8">
      <w:pPr>
        <w:jc w:val="both"/>
      </w:pPr>
      <w:r>
        <w:t xml:space="preserve">Ainsi les données sur les résidences sociales seront de qualité identique pour la prochaine </w:t>
      </w:r>
      <w:r w:rsidR="00943502">
        <w:t>édition</w:t>
      </w:r>
      <w:r>
        <w:t>.</w:t>
      </w:r>
    </w:p>
    <w:p w14:paraId="4B868B19" w14:textId="1BD62FE2" w:rsidR="00DF25AA" w:rsidRDefault="00DF25AA" w:rsidP="00791FA8">
      <w:pPr>
        <w:jc w:val="both"/>
      </w:pPr>
      <w:r>
        <w:t xml:space="preserve">Ceci s’explique en partie par le fait qu’il n’y a </w:t>
      </w:r>
      <w:r>
        <w:rPr>
          <w:rStyle w:val="ui-provider"/>
        </w:rPr>
        <w:t>pas d’enquête d’occupation, peu de données récoltées avant l’entrée et à la sortie des personnes.</w:t>
      </w:r>
    </w:p>
    <w:p w14:paraId="7D759510" w14:textId="07EFC4D7" w:rsidR="004A00C4" w:rsidRDefault="004A00C4" w:rsidP="004A00C4">
      <w:pPr>
        <w:jc w:val="both"/>
        <w:rPr>
          <w:rStyle w:val="ui-provider"/>
        </w:rPr>
      </w:pPr>
      <w:r>
        <w:rPr>
          <w:rStyle w:val="ui-provider"/>
        </w:rPr>
        <w:t xml:space="preserve">Pour résoudre ce problème, l’UNAFO voudrait faire converger les nomenclatures entre </w:t>
      </w:r>
      <w:r w:rsidR="00943502">
        <w:rPr>
          <w:rStyle w:val="ui-provider"/>
        </w:rPr>
        <w:t>s</w:t>
      </w:r>
      <w:r>
        <w:rPr>
          <w:rStyle w:val="ui-provider"/>
        </w:rPr>
        <w:t>es adhérents.</w:t>
      </w:r>
    </w:p>
    <w:p w14:paraId="5543CFBD" w14:textId="77777777" w:rsidR="00DF25AA" w:rsidRDefault="00DF25AA" w:rsidP="00791FA8">
      <w:pPr>
        <w:jc w:val="both"/>
      </w:pPr>
    </w:p>
    <w:p w14:paraId="0A57476F" w14:textId="77777777" w:rsidR="00A704EC" w:rsidRDefault="00A704EC" w:rsidP="00A704EC">
      <w:pPr>
        <w:jc w:val="both"/>
      </w:pPr>
      <w:r>
        <w:t>La DREES sollicite les participants pour savoir quelle est la terminologie la plus appropriée entre « logement accompagné » et « logement adapté ».</w:t>
      </w:r>
    </w:p>
    <w:p w14:paraId="515C2957" w14:textId="2652BCC4" w:rsidR="00A704EC" w:rsidRDefault="00A704EC" w:rsidP="00A704EC">
      <w:pPr>
        <w:jc w:val="both"/>
      </w:pPr>
      <w:r>
        <w:t xml:space="preserve">Les acteurs de terrains tel que l’UNAFO parle plutôt de « logement accompagné » et la </w:t>
      </w:r>
      <w:proofErr w:type="spellStart"/>
      <w:r>
        <w:t>Dihal</w:t>
      </w:r>
      <w:proofErr w:type="spellEnd"/>
      <w:r>
        <w:t xml:space="preserve"> de logement adapté dans sa programmation pluriannuelle.</w:t>
      </w:r>
      <w:r w:rsidR="00943502">
        <w:t xml:space="preserve"> La question sera tranchée lors du comité de pilotage de l’enquête ES DS.</w:t>
      </w:r>
    </w:p>
    <w:p w14:paraId="2B161CB0" w14:textId="77777777" w:rsidR="00A704EC" w:rsidRDefault="00A704EC" w:rsidP="00791FA8">
      <w:pPr>
        <w:jc w:val="both"/>
      </w:pPr>
    </w:p>
    <w:p w14:paraId="6BC4D147" w14:textId="4ACCBA5B" w:rsidR="0023397C" w:rsidRDefault="0023397C" w:rsidP="00791FA8">
      <w:pPr>
        <w:jc w:val="both"/>
        <w:rPr>
          <w:rStyle w:val="ui-provider"/>
        </w:rPr>
      </w:pPr>
      <w:r>
        <w:t>Par ailleurs, la terminologie « </w:t>
      </w:r>
      <w:r>
        <w:rPr>
          <w:rStyle w:val="ui-provider"/>
        </w:rPr>
        <w:t>ex-FJT » ne semble pas approprié. Il est préférable de parler de FJT qui sont devenus des résidences sociales. Cette distinction sera présente dans la prochaine enquête ES-DS. Ceci ne devrait pas poser de problème pour le remplissage de l’information car les gestionnaires connaissent leur statut.</w:t>
      </w:r>
    </w:p>
    <w:p w14:paraId="558F0B00" w14:textId="60B63308" w:rsidR="0023397C" w:rsidRDefault="00A704EC" w:rsidP="0023397C">
      <w:pPr>
        <w:jc w:val="both"/>
        <w:rPr>
          <w:rStyle w:val="ui-provider"/>
        </w:rPr>
      </w:pPr>
      <w:r>
        <w:rPr>
          <w:rStyle w:val="ui-provider"/>
        </w:rPr>
        <w:t>Et i</w:t>
      </w:r>
      <w:r w:rsidR="0023397C">
        <w:rPr>
          <w:rStyle w:val="ui-provider"/>
        </w:rPr>
        <w:t xml:space="preserve">l est </w:t>
      </w:r>
      <w:r>
        <w:rPr>
          <w:rStyle w:val="ui-provider"/>
        </w:rPr>
        <w:t xml:space="preserve">aussi </w:t>
      </w:r>
      <w:r w:rsidR="0023397C">
        <w:rPr>
          <w:rStyle w:val="ui-provider"/>
        </w:rPr>
        <w:t>proposé de distinguer les « résidences accueil » des résidences sociales car elles accueillent des publics spécifiques ayant un handicap psychique.</w:t>
      </w:r>
    </w:p>
    <w:p w14:paraId="0B56CE8B" w14:textId="772BD1D1" w:rsidR="0023397C" w:rsidRDefault="0023397C" w:rsidP="00791FA8">
      <w:pPr>
        <w:jc w:val="both"/>
      </w:pPr>
    </w:p>
    <w:p w14:paraId="17431EFC" w14:textId="392E8493" w:rsidR="004A00C4" w:rsidRDefault="004A00C4" w:rsidP="004A00C4">
      <w:pPr>
        <w:jc w:val="both"/>
      </w:pPr>
      <w:r>
        <w:t xml:space="preserve">Les codes de l’enquête ES-DS </w:t>
      </w:r>
      <w:r>
        <w:rPr>
          <w:rStyle w:val="ui-provider"/>
        </w:rPr>
        <w:t>seront mis à disposition afin que les DREETS puissent réaliser les mêmes analyses</w:t>
      </w:r>
      <w:r w:rsidR="00943502">
        <w:rPr>
          <w:rStyle w:val="ui-provider"/>
        </w:rPr>
        <w:t xml:space="preserve"> que celles présentées</w:t>
      </w:r>
      <w:r>
        <w:rPr>
          <w:rStyle w:val="ui-provider"/>
        </w:rPr>
        <w:t>.</w:t>
      </w:r>
    </w:p>
    <w:p w14:paraId="1C7A2585" w14:textId="01DC4065" w:rsidR="00674278" w:rsidRDefault="00674278" w:rsidP="00921480">
      <w:pPr>
        <w:jc w:val="both"/>
        <w:rPr>
          <w:rStyle w:val="ui-provider"/>
        </w:rPr>
      </w:pPr>
    </w:p>
    <w:p w14:paraId="0D668D96" w14:textId="37225600" w:rsidR="00897AA5" w:rsidRPr="00C126BD" w:rsidRDefault="00897AA5" w:rsidP="00897AA5">
      <w:pPr>
        <w:jc w:val="both"/>
        <w:rPr>
          <w:b/>
          <w:caps/>
        </w:rPr>
      </w:pPr>
      <w:r w:rsidRPr="00C126BD">
        <w:rPr>
          <w:b/>
          <w:caps/>
          <w:sz w:val="28"/>
          <w:szCs w:val="28"/>
          <w:u w:val="single"/>
        </w:rPr>
        <w:t>Les conditions de sortie de l’hébergement social</w:t>
      </w:r>
    </w:p>
    <w:p w14:paraId="5C7962C4" w14:textId="2EA27223" w:rsidR="00291EBF" w:rsidRDefault="00291EBF" w:rsidP="00897AA5">
      <w:pPr>
        <w:jc w:val="both"/>
      </w:pPr>
    </w:p>
    <w:p w14:paraId="36E3D6D3" w14:textId="7C7FFBFF" w:rsidR="00291EBF" w:rsidRPr="008D6FC1" w:rsidRDefault="00291EBF" w:rsidP="00291EBF">
      <w:pPr>
        <w:jc w:val="both"/>
      </w:pPr>
      <w:r w:rsidRPr="008D6FC1">
        <w:t>Présentation par</w:t>
      </w:r>
      <w:r>
        <w:t xml:space="preserve"> Pierre-</w:t>
      </w:r>
      <w:r w:rsidRPr="007B7291">
        <w:t>Antoine Ch</w:t>
      </w:r>
      <w:r>
        <w:t>auvin – bureau lutte contre l’exclusion à la DREES</w:t>
      </w:r>
    </w:p>
    <w:p w14:paraId="29016DF3" w14:textId="39C13429" w:rsidR="00291EBF" w:rsidRDefault="00291EBF" w:rsidP="00897AA5">
      <w:pPr>
        <w:jc w:val="both"/>
      </w:pPr>
    </w:p>
    <w:p w14:paraId="0C9D4419" w14:textId="47A0D764" w:rsidR="00943502" w:rsidRDefault="000035A0" w:rsidP="000035A0">
      <w:pPr>
        <w:jc w:val="both"/>
      </w:pPr>
      <w:r>
        <w:t xml:space="preserve">Les résultats n’étant pas encore publiés, il n’est pas possible de joindre la présentation. </w:t>
      </w:r>
      <w:r w:rsidR="00DF342D">
        <w:t>Nous vous adresserons le lien vers les publications dès qu’il sera disponible.</w:t>
      </w:r>
    </w:p>
    <w:p w14:paraId="0073F3CB" w14:textId="77777777" w:rsidR="00DF342D" w:rsidRDefault="00DF342D" w:rsidP="000035A0">
      <w:pPr>
        <w:jc w:val="both"/>
      </w:pPr>
    </w:p>
    <w:p w14:paraId="2AF3DE06" w14:textId="538851F4" w:rsidR="000035A0" w:rsidRDefault="00DF342D" w:rsidP="000035A0">
      <w:pPr>
        <w:jc w:val="both"/>
        <w:rPr>
          <w:rStyle w:val="ui-provider"/>
        </w:rPr>
      </w:pPr>
      <w:r w:rsidRPr="00DF342D">
        <w:t xml:space="preserve">Les données de l’enquête ES-DS </w:t>
      </w:r>
      <w:r w:rsidR="000035A0">
        <w:t>analysées </w:t>
      </w:r>
      <w:r>
        <w:t xml:space="preserve">sont </w:t>
      </w:r>
      <w:r w:rsidR="000035A0">
        <w:t>: les sorties selon le type de dispositif, les taux de sorties, l’impact du</w:t>
      </w:r>
      <w:r w:rsidR="000035A0">
        <w:rPr>
          <w:rStyle w:val="ui-provider"/>
        </w:rPr>
        <w:t xml:space="preserve"> sexe, de la typologie, de l’âge</w:t>
      </w:r>
      <w:r w:rsidR="000904AC">
        <w:rPr>
          <w:rStyle w:val="ui-provider"/>
        </w:rPr>
        <w:t>, des motifs d’admission (notamment victime de violence), la zone géographique (IDF et hors IDF), l’ancienneté dans le dispositif, le statut de séjour, les revenus d’activité</w:t>
      </w:r>
    </w:p>
    <w:p w14:paraId="2CE8EF48" w14:textId="0D08F035" w:rsidR="000035A0" w:rsidRDefault="000035A0" w:rsidP="000035A0">
      <w:pPr>
        <w:jc w:val="both"/>
      </w:pPr>
    </w:p>
    <w:p w14:paraId="43FACD4E" w14:textId="7FC1FFB7" w:rsidR="000035A0" w:rsidRDefault="000035A0" w:rsidP="00897AA5">
      <w:pPr>
        <w:jc w:val="both"/>
      </w:pPr>
      <w:r>
        <w:t>L’analyse des sorties a été réalisée à partir d’une cohorte</w:t>
      </w:r>
      <w:r w:rsidR="000904AC">
        <w:t xml:space="preserve"> de personnes présentes à une date donnée (31 janvier 2016</w:t>
      </w:r>
      <w:r w:rsidR="00DF342D">
        <w:t xml:space="preserve"> - sous-effectif de ES-DS</w:t>
      </w:r>
      <w:r w:rsidR="000904AC">
        <w:t>).</w:t>
      </w:r>
    </w:p>
    <w:p w14:paraId="69159DFA" w14:textId="7C1C79DC" w:rsidR="000904AC" w:rsidRDefault="000904AC" w:rsidP="00897AA5">
      <w:pPr>
        <w:jc w:val="both"/>
      </w:pPr>
      <w:r>
        <w:lastRenderedPageBreak/>
        <w:t>On comptabilise une seule sortie si la personne passe d’un service à un autre au sein du même établissement. Et une sortie si elle quitte cet établissement.</w:t>
      </w:r>
    </w:p>
    <w:p w14:paraId="69554B53" w14:textId="0837937C" w:rsidR="000B5CFB" w:rsidRDefault="000B5CFB" w:rsidP="00897AA5">
      <w:pPr>
        <w:jc w:val="both"/>
        <w:rPr>
          <w:rStyle w:val="ui-provider"/>
        </w:rPr>
      </w:pPr>
    </w:p>
    <w:p w14:paraId="2E1B1C5C" w14:textId="1E8F6FC1" w:rsidR="00D14AC4" w:rsidRDefault="00D14AC4" w:rsidP="00D14AC4">
      <w:pPr>
        <w:jc w:val="both"/>
        <w:rPr>
          <w:b/>
          <w:sz w:val="24"/>
          <w:szCs w:val="24"/>
        </w:rPr>
      </w:pPr>
      <w:r w:rsidRPr="00344028">
        <w:rPr>
          <w:b/>
          <w:sz w:val="24"/>
          <w:szCs w:val="24"/>
        </w:rPr>
        <w:t>Discussion</w:t>
      </w:r>
    </w:p>
    <w:p w14:paraId="092DD222" w14:textId="77777777" w:rsidR="000904AC" w:rsidRDefault="000904AC" w:rsidP="00D14AC4">
      <w:pPr>
        <w:jc w:val="both"/>
      </w:pPr>
    </w:p>
    <w:p w14:paraId="5510DC04" w14:textId="2ABA8C14" w:rsidR="00561A8E" w:rsidRDefault="000904AC" w:rsidP="000904AC">
      <w:pPr>
        <w:jc w:val="both"/>
      </w:pPr>
      <w:r>
        <w:t>Il serait intéressant de prolonger l’analyse par sexe en séparant les femmes seule</w:t>
      </w:r>
      <w:r w:rsidR="00DF342D">
        <w:t>s</w:t>
      </w:r>
      <w:r>
        <w:t xml:space="preserve"> et les femmes seules avec enfants</w:t>
      </w:r>
      <w:r w:rsidR="00DF342D">
        <w:t>.</w:t>
      </w:r>
    </w:p>
    <w:p w14:paraId="7D8BE011" w14:textId="77777777" w:rsidR="000904AC" w:rsidRDefault="000904AC" w:rsidP="00D14AC4">
      <w:pPr>
        <w:jc w:val="both"/>
      </w:pPr>
    </w:p>
    <w:p w14:paraId="2BD03D43" w14:textId="663DD0DB" w:rsidR="000904AC" w:rsidRDefault="000904AC" w:rsidP="000904AC">
      <w:pPr>
        <w:jc w:val="both"/>
      </w:pPr>
      <w:r>
        <w:t xml:space="preserve">Comme pour la précédente enquête, les codes de l’enquête ES-DS </w:t>
      </w:r>
      <w:r>
        <w:rPr>
          <w:rStyle w:val="ui-provider"/>
        </w:rPr>
        <w:t>seront mis à disposition afin que les DREETS puissent réaliser les mêmes analyses.</w:t>
      </w:r>
    </w:p>
    <w:p w14:paraId="32B6D9DA" w14:textId="77777777" w:rsidR="000904AC" w:rsidRDefault="000904AC" w:rsidP="00D14AC4">
      <w:pPr>
        <w:jc w:val="both"/>
      </w:pPr>
    </w:p>
    <w:p w14:paraId="2DF6E4FC" w14:textId="06B6E0E7" w:rsidR="00D14AC4" w:rsidRPr="00D14AC4" w:rsidRDefault="00730BD0" w:rsidP="00324EBC">
      <w:pPr>
        <w:jc w:val="both"/>
        <w:rPr>
          <w:b/>
          <w:caps/>
          <w:sz w:val="28"/>
          <w:szCs w:val="28"/>
          <w:u w:val="single"/>
        </w:rPr>
      </w:pPr>
      <w:r>
        <w:rPr>
          <w:b/>
          <w:caps/>
          <w:sz w:val="28"/>
          <w:szCs w:val="28"/>
          <w:u w:val="single"/>
        </w:rPr>
        <w:t>D</w:t>
      </w:r>
      <w:r w:rsidR="00D14AC4" w:rsidRPr="00D14AC4">
        <w:rPr>
          <w:b/>
          <w:caps/>
          <w:sz w:val="28"/>
          <w:szCs w:val="28"/>
          <w:u w:val="single"/>
        </w:rPr>
        <w:t>ES FEMMES</w:t>
      </w:r>
      <w:r>
        <w:rPr>
          <w:b/>
          <w:caps/>
          <w:sz w:val="28"/>
          <w:szCs w:val="28"/>
          <w:u w:val="single"/>
        </w:rPr>
        <w:t xml:space="preserve"> sans domicile invisibles</w:t>
      </w:r>
    </w:p>
    <w:p w14:paraId="744C3B31" w14:textId="77777777" w:rsidR="00291EBF" w:rsidRDefault="00291EBF" w:rsidP="00324EBC">
      <w:pPr>
        <w:jc w:val="both"/>
        <w:rPr>
          <w:rStyle w:val="ui-provider"/>
        </w:rPr>
      </w:pPr>
    </w:p>
    <w:p w14:paraId="69C9BD87" w14:textId="7DEF62C0" w:rsidR="00291EBF" w:rsidRDefault="00291EBF" w:rsidP="00291EBF">
      <w:pPr>
        <w:jc w:val="both"/>
      </w:pPr>
      <w:r w:rsidRPr="008D6FC1">
        <w:t>Présentation par</w:t>
      </w:r>
      <w:r>
        <w:t xml:space="preserve"> Marie Loison-Leruste - Maîtresse de conférences en sociologie - Université Sorbonne Paris Nord - Laboratoire Printemps (UMR 8085-CNRS/UVSQ)</w:t>
      </w:r>
      <w:r w:rsidR="004078AD">
        <w:t xml:space="preserve"> – PDF</w:t>
      </w:r>
      <w:r w:rsidR="007858F2">
        <w:t xml:space="preserve"> de présentation</w:t>
      </w:r>
      <w:r w:rsidR="004078AD">
        <w:t xml:space="preserve"> envoyé avec le CR.</w:t>
      </w:r>
    </w:p>
    <w:p w14:paraId="118300FE" w14:textId="77777777" w:rsidR="00291EBF" w:rsidRDefault="00291EBF" w:rsidP="00324EBC">
      <w:pPr>
        <w:jc w:val="both"/>
        <w:rPr>
          <w:rStyle w:val="ui-provider"/>
        </w:rPr>
      </w:pPr>
    </w:p>
    <w:p w14:paraId="2DD02055" w14:textId="40EFA049" w:rsidR="001F248F" w:rsidRDefault="004078AD" w:rsidP="00324EBC">
      <w:pPr>
        <w:jc w:val="both"/>
        <w:rPr>
          <w:rStyle w:val="ui-provider"/>
        </w:rPr>
      </w:pPr>
      <w:r>
        <w:rPr>
          <w:rStyle w:val="ui-provider"/>
        </w:rPr>
        <w:t>Marie Loison-Leruste s’interroge sur l’invisibilité des femmes sans domicile qui sont pourtant de plus en plus nombreuses. Les réflexions s’appuient notamment sur une enquête dans un foyer de femmes (centre d’hébergement de stabilisation) et à l’Escale (lieu</w:t>
      </w:r>
      <w:r w:rsidR="005A77EB">
        <w:rPr>
          <w:rStyle w:val="ui-provider"/>
        </w:rPr>
        <w:t xml:space="preserve"> d’accueil et de mise à l’abri) ainsi que sur des travaux de chercheurs français et européens.</w:t>
      </w:r>
    </w:p>
    <w:p w14:paraId="3492D028" w14:textId="40017068" w:rsidR="004078AD" w:rsidRDefault="004078AD" w:rsidP="00324EBC">
      <w:pPr>
        <w:jc w:val="both"/>
        <w:rPr>
          <w:rStyle w:val="ui-provider"/>
        </w:rPr>
      </w:pPr>
      <w:r>
        <w:rPr>
          <w:rStyle w:val="ui-provider"/>
        </w:rPr>
        <w:t>Marie Loison-Leruste propose de repenser le sans-</w:t>
      </w:r>
      <w:proofErr w:type="spellStart"/>
      <w:r>
        <w:rPr>
          <w:rStyle w:val="ui-provider"/>
        </w:rPr>
        <w:t>domicilisme</w:t>
      </w:r>
      <w:proofErr w:type="spellEnd"/>
      <w:r>
        <w:rPr>
          <w:rStyle w:val="ui-provider"/>
        </w:rPr>
        <w:t xml:space="preserve"> au prisme du genre notamment en ce qui concerne la définition et la mesure du sans-abrisme.</w:t>
      </w:r>
    </w:p>
    <w:p w14:paraId="12420BEB" w14:textId="15718C93" w:rsidR="004078AD" w:rsidRDefault="004078AD" w:rsidP="00324EBC">
      <w:pPr>
        <w:jc w:val="both"/>
        <w:rPr>
          <w:rStyle w:val="ui-provider"/>
        </w:rPr>
      </w:pPr>
    </w:p>
    <w:p w14:paraId="24EDCC5C" w14:textId="77777777" w:rsidR="00D14AC4" w:rsidRPr="00344028" w:rsidRDefault="00D14AC4" w:rsidP="00D14AC4">
      <w:pPr>
        <w:jc w:val="both"/>
        <w:rPr>
          <w:b/>
          <w:sz w:val="24"/>
          <w:szCs w:val="24"/>
        </w:rPr>
      </w:pPr>
      <w:r w:rsidRPr="00344028">
        <w:rPr>
          <w:b/>
          <w:sz w:val="24"/>
          <w:szCs w:val="24"/>
        </w:rPr>
        <w:t>Discussion</w:t>
      </w:r>
    </w:p>
    <w:p w14:paraId="7F561843" w14:textId="6AF6E022" w:rsidR="00D14AC4" w:rsidRDefault="00D14AC4" w:rsidP="00324EBC">
      <w:pPr>
        <w:jc w:val="both"/>
      </w:pPr>
    </w:p>
    <w:p w14:paraId="3FF9DD5A" w14:textId="013032E5" w:rsidR="005A77EB" w:rsidRDefault="005A77EB" w:rsidP="00324EBC">
      <w:pPr>
        <w:jc w:val="both"/>
      </w:pPr>
      <w:r>
        <w:t>Des échanges ont eu sur les champs couverts par les enquêtes et sur la définition du sans-abrisme et sans-</w:t>
      </w:r>
      <w:proofErr w:type="spellStart"/>
      <w:r>
        <w:t>domicilisme</w:t>
      </w:r>
      <w:proofErr w:type="spellEnd"/>
      <w:r>
        <w:t>.</w:t>
      </w:r>
    </w:p>
    <w:p w14:paraId="311D3A65" w14:textId="120E575B" w:rsidR="005A77EB" w:rsidRDefault="005A77EB" w:rsidP="00324EBC">
      <w:pPr>
        <w:jc w:val="both"/>
      </w:pPr>
      <w:r>
        <w:t>Lors de la première enquête sans domicile de l’INSEE de 2012, des personnes à la rue, dans des hébergements et fréquentant des lieux de restauration ont été interrogées.</w:t>
      </w:r>
    </w:p>
    <w:p w14:paraId="4893F240" w14:textId="31EEDCF4" w:rsidR="005A77EB" w:rsidRDefault="00391E87" w:rsidP="00324EBC">
      <w:pPr>
        <w:jc w:val="both"/>
      </w:pPr>
      <w:r>
        <w:t>Et des questions supplémentaires ont été ajoutées dans l’enquête logement pour avoir des questions sur les personnes hébergées et on demandait aux personnes si elles ont été sans domicile précédemment</w:t>
      </w:r>
    </w:p>
    <w:p w14:paraId="57E43C1A" w14:textId="77777777" w:rsidR="00391E87" w:rsidRDefault="00391E87" w:rsidP="00324EBC">
      <w:pPr>
        <w:jc w:val="both"/>
      </w:pPr>
    </w:p>
    <w:p w14:paraId="02020727" w14:textId="36957832" w:rsidR="00391E87" w:rsidRDefault="00391E87" w:rsidP="00324EBC">
      <w:pPr>
        <w:jc w:val="both"/>
      </w:pPr>
      <w:r>
        <w:t>Dans l’enquête sans domicile de 2025, il y a un élargissement aux squats, bidonvilles, structures du DNA, hôtels et accueils de jour et l’enquête SD 2025 s’intitule : « </w:t>
      </w:r>
      <w:r w:rsidRPr="00391E87">
        <w:t>Étude auprès des personnes fréquentant des services d’aide</w:t>
      </w:r>
      <w:r>
        <w:t> ».</w:t>
      </w:r>
    </w:p>
    <w:p w14:paraId="1F30ED88" w14:textId="39EA09AE" w:rsidR="00391E87" w:rsidRDefault="00391E87" w:rsidP="00324EBC">
      <w:pPr>
        <w:jc w:val="both"/>
      </w:pPr>
      <w:r>
        <w:t>Et l’enquête logement permet d’avoir des informations sur les personnes hébergées chez des tiers.</w:t>
      </w:r>
    </w:p>
    <w:p w14:paraId="628229A8" w14:textId="3684FCE1" w:rsidR="00391E87" w:rsidRDefault="00391E87" w:rsidP="00324EBC">
      <w:pPr>
        <w:jc w:val="both"/>
      </w:pPr>
    </w:p>
    <w:p w14:paraId="26E61E54" w14:textId="31710023" w:rsidR="00391E87" w:rsidRDefault="00391E87" w:rsidP="00324EBC">
      <w:pPr>
        <w:jc w:val="both"/>
      </w:pPr>
      <w:r>
        <w:t>Il est important d’avoir des discussions sur les catégories et de les rediscuter régulièrement.</w:t>
      </w:r>
    </w:p>
    <w:p w14:paraId="1A686B37" w14:textId="77777777" w:rsidR="00D14AC4" w:rsidRDefault="00D14AC4" w:rsidP="00324EBC">
      <w:pPr>
        <w:jc w:val="both"/>
      </w:pPr>
    </w:p>
    <w:p w14:paraId="112CD77B" w14:textId="31DC1137" w:rsidR="008503B0" w:rsidRPr="00ED26D9" w:rsidRDefault="00ED26D9" w:rsidP="00324EBC">
      <w:pPr>
        <w:jc w:val="both"/>
        <w:rPr>
          <w:b/>
          <w:caps/>
          <w:sz w:val="28"/>
          <w:szCs w:val="28"/>
          <w:u w:val="single"/>
        </w:rPr>
      </w:pPr>
      <w:r w:rsidRPr="00ED26D9">
        <w:rPr>
          <w:b/>
          <w:caps/>
          <w:sz w:val="28"/>
          <w:szCs w:val="28"/>
          <w:u w:val="single"/>
        </w:rPr>
        <w:t>PROCHAINE REUNION</w:t>
      </w:r>
    </w:p>
    <w:p w14:paraId="005334B2" w14:textId="77777777" w:rsidR="005010B3" w:rsidRDefault="005010B3" w:rsidP="00324EBC">
      <w:pPr>
        <w:jc w:val="both"/>
      </w:pPr>
    </w:p>
    <w:p w14:paraId="720E05E9" w14:textId="258BA50D" w:rsidR="00ED26D9" w:rsidRPr="006F216F" w:rsidRDefault="001D4579" w:rsidP="00ED26D9">
      <w:pPr>
        <w:rPr>
          <w:rFonts w:asciiTheme="minorHAnsi" w:hAnsiTheme="minorHAnsi" w:cstheme="minorBidi"/>
        </w:rPr>
      </w:pPr>
      <w:r w:rsidRPr="00AF77B7">
        <w:t xml:space="preserve">La prochaine réunion est fixée au </w:t>
      </w:r>
      <w:r w:rsidRPr="00125114">
        <w:rPr>
          <w:b/>
        </w:rPr>
        <w:t xml:space="preserve">vendredi </w:t>
      </w:r>
      <w:r w:rsidR="00ED26D9">
        <w:rPr>
          <w:b/>
        </w:rPr>
        <w:t>1</w:t>
      </w:r>
      <w:r w:rsidR="003750FE">
        <w:rPr>
          <w:b/>
        </w:rPr>
        <w:t>1 octobre</w:t>
      </w:r>
      <w:r w:rsidR="00ED26D9">
        <w:rPr>
          <w:b/>
        </w:rPr>
        <w:t xml:space="preserve"> 2024</w:t>
      </w:r>
      <w:r w:rsidRPr="00AF77B7">
        <w:rPr>
          <w:b/>
        </w:rPr>
        <w:t xml:space="preserve"> </w:t>
      </w:r>
      <w:r w:rsidRPr="00AF77B7">
        <w:t xml:space="preserve">de 9h30 à 12h30 </w:t>
      </w:r>
      <w:proofErr w:type="gramStart"/>
      <w:r w:rsidRPr="00AF77B7">
        <w:t xml:space="preserve">–  </w:t>
      </w:r>
      <w:r w:rsidR="00ED26D9" w:rsidRPr="006F216F">
        <w:t>Sous</w:t>
      </w:r>
      <w:proofErr w:type="gramEnd"/>
      <w:r w:rsidR="00ED26D9" w:rsidRPr="006F216F">
        <w:t>-sol (niveau -</w:t>
      </w:r>
      <w:r w:rsidR="006F216F" w:rsidRPr="006F216F">
        <w:t>2</w:t>
      </w:r>
      <w:r w:rsidR="00ED26D9" w:rsidRPr="006F216F">
        <w:t>) - 2</w:t>
      </w:r>
      <w:r w:rsidR="006F216F" w:rsidRPr="006F216F">
        <w:t>4</w:t>
      </w:r>
      <w:r w:rsidR="00ED26D9" w:rsidRPr="006F216F">
        <w:t xml:space="preserve"> - Salle </w:t>
      </w:r>
      <w:proofErr w:type="spellStart"/>
      <w:r w:rsidR="00ED26D9" w:rsidRPr="006F216F">
        <w:t>B</w:t>
      </w:r>
      <w:r w:rsidR="006F216F" w:rsidRPr="006F216F">
        <w:t>ankok</w:t>
      </w:r>
      <w:proofErr w:type="spellEnd"/>
      <w:r w:rsidR="00ED26D9" w:rsidRPr="006F216F">
        <w:t xml:space="preserve"> - Tour Olivier de Serres, 78-84 rue Olivier de Serres, Paris 15ème</w:t>
      </w:r>
    </w:p>
    <w:p w14:paraId="13194E2F" w14:textId="3519D0C0" w:rsidR="001D4579" w:rsidRDefault="001D4579" w:rsidP="001D4579">
      <w:pPr>
        <w:jc w:val="both"/>
      </w:pPr>
    </w:p>
    <w:sectPr w:rsidR="001D4579" w:rsidSect="009214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1281F"/>
    <w:multiLevelType w:val="hybridMultilevel"/>
    <w:tmpl w:val="2EA864CC"/>
    <w:lvl w:ilvl="0" w:tplc="85544A5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016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BDA"/>
    <w:rsid w:val="000035A0"/>
    <w:rsid w:val="000076ED"/>
    <w:rsid w:val="00013B5C"/>
    <w:rsid w:val="00021FAD"/>
    <w:rsid w:val="00035824"/>
    <w:rsid w:val="000703DF"/>
    <w:rsid w:val="00076E6D"/>
    <w:rsid w:val="00080A74"/>
    <w:rsid w:val="000904AC"/>
    <w:rsid w:val="00095303"/>
    <w:rsid w:val="000A2F50"/>
    <w:rsid w:val="000B0920"/>
    <w:rsid w:val="000B3489"/>
    <w:rsid w:val="000B5CFB"/>
    <w:rsid w:val="000D2057"/>
    <w:rsid w:val="000D5833"/>
    <w:rsid w:val="000E78C6"/>
    <w:rsid w:val="000F1502"/>
    <w:rsid w:val="000F2C04"/>
    <w:rsid w:val="000F6C1F"/>
    <w:rsid w:val="00107478"/>
    <w:rsid w:val="00124131"/>
    <w:rsid w:val="0013304A"/>
    <w:rsid w:val="00136998"/>
    <w:rsid w:val="001438EE"/>
    <w:rsid w:val="0014597A"/>
    <w:rsid w:val="0015293E"/>
    <w:rsid w:val="00153E74"/>
    <w:rsid w:val="0016012D"/>
    <w:rsid w:val="00161C97"/>
    <w:rsid w:val="001708C0"/>
    <w:rsid w:val="0017448C"/>
    <w:rsid w:val="00184CC1"/>
    <w:rsid w:val="001878B5"/>
    <w:rsid w:val="00193A8B"/>
    <w:rsid w:val="00193E26"/>
    <w:rsid w:val="0019577C"/>
    <w:rsid w:val="001A79A6"/>
    <w:rsid w:val="001B72EF"/>
    <w:rsid w:val="001C1791"/>
    <w:rsid w:val="001D4579"/>
    <w:rsid w:val="001F248F"/>
    <w:rsid w:val="001F4FA3"/>
    <w:rsid w:val="00201A7C"/>
    <w:rsid w:val="002039E3"/>
    <w:rsid w:val="002058BB"/>
    <w:rsid w:val="00214DEA"/>
    <w:rsid w:val="00217FD4"/>
    <w:rsid w:val="00230BA6"/>
    <w:rsid w:val="0023397C"/>
    <w:rsid w:val="002636E8"/>
    <w:rsid w:val="00264BF4"/>
    <w:rsid w:val="00266AF2"/>
    <w:rsid w:val="00271BDA"/>
    <w:rsid w:val="00272194"/>
    <w:rsid w:val="002866F1"/>
    <w:rsid w:val="00291EBF"/>
    <w:rsid w:val="00293D28"/>
    <w:rsid w:val="00297BD1"/>
    <w:rsid w:val="002B46CB"/>
    <w:rsid w:val="002C52CD"/>
    <w:rsid w:val="002C6537"/>
    <w:rsid w:val="002E0174"/>
    <w:rsid w:val="002F4BDC"/>
    <w:rsid w:val="00316D27"/>
    <w:rsid w:val="00324EBC"/>
    <w:rsid w:val="0033288E"/>
    <w:rsid w:val="00344028"/>
    <w:rsid w:val="00361BA8"/>
    <w:rsid w:val="003632ED"/>
    <w:rsid w:val="003639FD"/>
    <w:rsid w:val="003750FE"/>
    <w:rsid w:val="00377E8A"/>
    <w:rsid w:val="00391E87"/>
    <w:rsid w:val="0039434D"/>
    <w:rsid w:val="003A556C"/>
    <w:rsid w:val="003B4162"/>
    <w:rsid w:val="003C4BDF"/>
    <w:rsid w:val="003C655B"/>
    <w:rsid w:val="003D0B8C"/>
    <w:rsid w:val="003E1A35"/>
    <w:rsid w:val="003F1092"/>
    <w:rsid w:val="004078AD"/>
    <w:rsid w:val="00420D44"/>
    <w:rsid w:val="00455022"/>
    <w:rsid w:val="004600E6"/>
    <w:rsid w:val="00472ADC"/>
    <w:rsid w:val="00487A0D"/>
    <w:rsid w:val="00493DB5"/>
    <w:rsid w:val="00497574"/>
    <w:rsid w:val="004A00C4"/>
    <w:rsid w:val="004A4E02"/>
    <w:rsid w:val="004C2637"/>
    <w:rsid w:val="004E16EE"/>
    <w:rsid w:val="004E78A9"/>
    <w:rsid w:val="004F0211"/>
    <w:rsid w:val="005010B3"/>
    <w:rsid w:val="0050735A"/>
    <w:rsid w:val="00515AC4"/>
    <w:rsid w:val="00522372"/>
    <w:rsid w:val="00554E4B"/>
    <w:rsid w:val="00561A8E"/>
    <w:rsid w:val="00572D21"/>
    <w:rsid w:val="00576920"/>
    <w:rsid w:val="00593E99"/>
    <w:rsid w:val="005A46B9"/>
    <w:rsid w:val="005A77EB"/>
    <w:rsid w:val="005D0767"/>
    <w:rsid w:val="005E09A4"/>
    <w:rsid w:val="005E4705"/>
    <w:rsid w:val="00611F9D"/>
    <w:rsid w:val="00617949"/>
    <w:rsid w:val="00650D1C"/>
    <w:rsid w:val="00674278"/>
    <w:rsid w:val="00682D64"/>
    <w:rsid w:val="006855FC"/>
    <w:rsid w:val="006A5248"/>
    <w:rsid w:val="006B2EBC"/>
    <w:rsid w:val="006C5B1C"/>
    <w:rsid w:val="006C6650"/>
    <w:rsid w:val="006D32B3"/>
    <w:rsid w:val="006D777E"/>
    <w:rsid w:val="006F1324"/>
    <w:rsid w:val="006F1588"/>
    <w:rsid w:val="006F216F"/>
    <w:rsid w:val="0070406B"/>
    <w:rsid w:val="007063A0"/>
    <w:rsid w:val="00707849"/>
    <w:rsid w:val="00720D15"/>
    <w:rsid w:val="00723FFC"/>
    <w:rsid w:val="00730BD0"/>
    <w:rsid w:val="00731680"/>
    <w:rsid w:val="00732616"/>
    <w:rsid w:val="00751473"/>
    <w:rsid w:val="007641BF"/>
    <w:rsid w:val="00771000"/>
    <w:rsid w:val="007831F6"/>
    <w:rsid w:val="00784D36"/>
    <w:rsid w:val="007858F2"/>
    <w:rsid w:val="0079162E"/>
    <w:rsid w:val="00791FA8"/>
    <w:rsid w:val="007B7291"/>
    <w:rsid w:val="007D51D1"/>
    <w:rsid w:val="007D7E0C"/>
    <w:rsid w:val="007F3E0D"/>
    <w:rsid w:val="007F4E08"/>
    <w:rsid w:val="0082418E"/>
    <w:rsid w:val="00826BCE"/>
    <w:rsid w:val="008408E2"/>
    <w:rsid w:val="008503B0"/>
    <w:rsid w:val="008619AD"/>
    <w:rsid w:val="00875411"/>
    <w:rsid w:val="0087706D"/>
    <w:rsid w:val="00890FAA"/>
    <w:rsid w:val="008921B5"/>
    <w:rsid w:val="00897AA5"/>
    <w:rsid w:val="00897C94"/>
    <w:rsid w:val="008B0DE3"/>
    <w:rsid w:val="008B1B2A"/>
    <w:rsid w:val="008B7F6D"/>
    <w:rsid w:val="008C408C"/>
    <w:rsid w:val="008C7BC0"/>
    <w:rsid w:val="008D6FC1"/>
    <w:rsid w:val="008F4128"/>
    <w:rsid w:val="008F5F05"/>
    <w:rsid w:val="00911E2D"/>
    <w:rsid w:val="00921480"/>
    <w:rsid w:val="0092710A"/>
    <w:rsid w:val="00943502"/>
    <w:rsid w:val="0094453D"/>
    <w:rsid w:val="00950DF4"/>
    <w:rsid w:val="00952582"/>
    <w:rsid w:val="00955C25"/>
    <w:rsid w:val="009759F2"/>
    <w:rsid w:val="00976CDD"/>
    <w:rsid w:val="00985E04"/>
    <w:rsid w:val="009C4F29"/>
    <w:rsid w:val="009C6217"/>
    <w:rsid w:val="009F13AD"/>
    <w:rsid w:val="00A017C7"/>
    <w:rsid w:val="00A04018"/>
    <w:rsid w:val="00A16F7A"/>
    <w:rsid w:val="00A213F1"/>
    <w:rsid w:val="00A41786"/>
    <w:rsid w:val="00A443F6"/>
    <w:rsid w:val="00A704EC"/>
    <w:rsid w:val="00A72CBF"/>
    <w:rsid w:val="00AC5D02"/>
    <w:rsid w:val="00AD0858"/>
    <w:rsid w:val="00AD5189"/>
    <w:rsid w:val="00AD6B76"/>
    <w:rsid w:val="00AE1ABE"/>
    <w:rsid w:val="00AE1F1F"/>
    <w:rsid w:val="00AE47F4"/>
    <w:rsid w:val="00AE6A57"/>
    <w:rsid w:val="00AF5BEB"/>
    <w:rsid w:val="00B024E8"/>
    <w:rsid w:val="00B13807"/>
    <w:rsid w:val="00B41D2B"/>
    <w:rsid w:val="00B44F76"/>
    <w:rsid w:val="00B53014"/>
    <w:rsid w:val="00B56635"/>
    <w:rsid w:val="00B941BE"/>
    <w:rsid w:val="00BA7EDC"/>
    <w:rsid w:val="00BB2492"/>
    <w:rsid w:val="00BC0BCB"/>
    <w:rsid w:val="00BC6365"/>
    <w:rsid w:val="00BC6998"/>
    <w:rsid w:val="00BD2302"/>
    <w:rsid w:val="00C02E1A"/>
    <w:rsid w:val="00C05AD4"/>
    <w:rsid w:val="00C126BD"/>
    <w:rsid w:val="00C52650"/>
    <w:rsid w:val="00C565E1"/>
    <w:rsid w:val="00C61233"/>
    <w:rsid w:val="00C6621D"/>
    <w:rsid w:val="00C77AD9"/>
    <w:rsid w:val="00C77FDC"/>
    <w:rsid w:val="00C815FF"/>
    <w:rsid w:val="00C85E52"/>
    <w:rsid w:val="00C954DD"/>
    <w:rsid w:val="00CB0427"/>
    <w:rsid w:val="00CD23A6"/>
    <w:rsid w:val="00CE0D36"/>
    <w:rsid w:val="00CF4E0D"/>
    <w:rsid w:val="00CF72F1"/>
    <w:rsid w:val="00D01C3E"/>
    <w:rsid w:val="00D14AC4"/>
    <w:rsid w:val="00D20E54"/>
    <w:rsid w:val="00D22BB2"/>
    <w:rsid w:val="00D27765"/>
    <w:rsid w:val="00D60534"/>
    <w:rsid w:val="00D7577F"/>
    <w:rsid w:val="00D762A0"/>
    <w:rsid w:val="00D76DD0"/>
    <w:rsid w:val="00DC17C2"/>
    <w:rsid w:val="00DE1BBD"/>
    <w:rsid w:val="00DF25AA"/>
    <w:rsid w:val="00DF342D"/>
    <w:rsid w:val="00DF3461"/>
    <w:rsid w:val="00E00D77"/>
    <w:rsid w:val="00E11ADA"/>
    <w:rsid w:val="00E12F9C"/>
    <w:rsid w:val="00E26D7C"/>
    <w:rsid w:val="00E3785D"/>
    <w:rsid w:val="00E42D08"/>
    <w:rsid w:val="00E55FC5"/>
    <w:rsid w:val="00E56289"/>
    <w:rsid w:val="00E71327"/>
    <w:rsid w:val="00E805C4"/>
    <w:rsid w:val="00EA171D"/>
    <w:rsid w:val="00EB05FD"/>
    <w:rsid w:val="00EB5C1B"/>
    <w:rsid w:val="00EC0569"/>
    <w:rsid w:val="00EC250B"/>
    <w:rsid w:val="00ED26D9"/>
    <w:rsid w:val="00EE037C"/>
    <w:rsid w:val="00EE2631"/>
    <w:rsid w:val="00EE63A0"/>
    <w:rsid w:val="00F10E0C"/>
    <w:rsid w:val="00F12389"/>
    <w:rsid w:val="00F12855"/>
    <w:rsid w:val="00F20444"/>
    <w:rsid w:val="00F2606B"/>
    <w:rsid w:val="00F31B67"/>
    <w:rsid w:val="00F37AE8"/>
    <w:rsid w:val="00F37FBC"/>
    <w:rsid w:val="00F4357B"/>
    <w:rsid w:val="00F472D9"/>
    <w:rsid w:val="00F63F32"/>
    <w:rsid w:val="00F64731"/>
    <w:rsid w:val="00F6703C"/>
    <w:rsid w:val="00F67665"/>
    <w:rsid w:val="00F70BE3"/>
    <w:rsid w:val="00F7429B"/>
    <w:rsid w:val="00F757BD"/>
    <w:rsid w:val="00F8082E"/>
    <w:rsid w:val="00F94A58"/>
    <w:rsid w:val="00F9797B"/>
    <w:rsid w:val="00FA3DA9"/>
    <w:rsid w:val="00FB417E"/>
    <w:rsid w:val="00FB6D48"/>
    <w:rsid w:val="00FC1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8911"/>
  <w15:chartTrackingRefBased/>
  <w15:docId w15:val="{CA1A3037-B5B0-4DF2-9628-E4EB56B7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BDA"/>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71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639FD"/>
    <w:rPr>
      <w:color w:val="0000FF"/>
      <w:u w:val="single"/>
    </w:rPr>
  </w:style>
  <w:style w:type="character" w:styleId="Lienhypertextesuivivisit">
    <w:name w:val="FollowedHyperlink"/>
    <w:basedOn w:val="Policepardfaut"/>
    <w:uiPriority w:val="99"/>
    <w:semiHidden/>
    <w:unhideWhenUsed/>
    <w:rsid w:val="006D32B3"/>
    <w:rPr>
      <w:color w:val="954F72" w:themeColor="followedHyperlink"/>
      <w:u w:val="single"/>
    </w:rPr>
  </w:style>
  <w:style w:type="paragraph" w:styleId="Paragraphedeliste">
    <w:name w:val="List Paragraph"/>
    <w:basedOn w:val="Normal"/>
    <w:uiPriority w:val="34"/>
    <w:qFormat/>
    <w:rsid w:val="00921480"/>
    <w:pPr>
      <w:ind w:left="720"/>
      <w:contextualSpacing/>
    </w:pPr>
  </w:style>
  <w:style w:type="paragraph" w:styleId="Textedebulles">
    <w:name w:val="Balloon Text"/>
    <w:basedOn w:val="Normal"/>
    <w:link w:val="TextedebullesCar"/>
    <w:uiPriority w:val="99"/>
    <w:semiHidden/>
    <w:unhideWhenUsed/>
    <w:rsid w:val="00611F9D"/>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1F9D"/>
    <w:rPr>
      <w:rFonts w:ascii="Segoe UI" w:hAnsi="Segoe UI" w:cs="Segoe UI"/>
      <w:sz w:val="18"/>
      <w:szCs w:val="18"/>
    </w:rPr>
  </w:style>
  <w:style w:type="character" w:styleId="Marquedecommentaire">
    <w:name w:val="annotation reference"/>
    <w:basedOn w:val="Policepardfaut"/>
    <w:uiPriority w:val="99"/>
    <w:semiHidden/>
    <w:unhideWhenUsed/>
    <w:rsid w:val="007F4E08"/>
    <w:rPr>
      <w:sz w:val="16"/>
      <w:szCs w:val="16"/>
    </w:rPr>
  </w:style>
  <w:style w:type="paragraph" w:styleId="Commentaire">
    <w:name w:val="annotation text"/>
    <w:basedOn w:val="Normal"/>
    <w:link w:val="CommentaireCar"/>
    <w:uiPriority w:val="99"/>
    <w:semiHidden/>
    <w:unhideWhenUsed/>
    <w:rsid w:val="007F4E08"/>
    <w:rPr>
      <w:sz w:val="20"/>
      <w:szCs w:val="20"/>
    </w:rPr>
  </w:style>
  <w:style w:type="character" w:customStyle="1" w:styleId="CommentaireCar">
    <w:name w:val="Commentaire Car"/>
    <w:basedOn w:val="Policepardfaut"/>
    <w:link w:val="Commentaire"/>
    <w:uiPriority w:val="99"/>
    <w:semiHidden/>
    <w:rsid w:val="007F4E08"/>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7F4E08"/>
    <w:rPr>
      <w:b/>
      <w:bCs/>
    </w:rPr>
  </w:style>
  <w:style w:type="character" w:customStyle="1" w:styleId="ObjetducommentaireCar">
    <w:name w:val="Objet du commentaire Car"/>
    <w:basedOn w:val="CommentaireCar"/>
    <w:link w:val="Objetducommentaire"/>
    <w:uiPriority w:val="99"/>
    <w:semiHidden/>
    <w:rsid w:val="007F4E08"/>
    <w:rPr>
      <w:rFonts w:ascii="Calibri" w:hAnsi="Calibri" w:cs="Calibri"/>
      <w:b/>
      <w:bCs/>
      <w:sz w:val="20"/>
      <w:szCs w:val="20"/>
    </w:rPr>
  </w:style>
  <w:style w:type="paragraph" w:customStyle="1" w:styleId="Texte">
    <w:name w:val="Texte"/>
    <w:basedOn w:val="Normal"/>
    <w:rsid w:val="00FC1771"/>
    <w:pPr>
      <w:tabs>
        <w:tab w:val="left" w:pos="851"/>
      </w:tabs>
      <w:overflowPunct w:val="0"/>
      <w:autoSpaceDE w:val="0"/>
      <w:autoSpaceDN w:val="0"/>
      <w:adjustRightInd w:val="0"/>
      <w:spacing w:before="80"/>
      <w:jc w:val="both"/>
      <w:textAlignment w:val="baseline"/>
    </w:pPr>
    <w:rPr>
      <w:rFonts w:ascii="Arial" w:eastAsia="Times New Roman" w:hAnsi="Arial" w:cs="Times New Roman"/>
      <w:sz w:val="20"/>
      <w:szCs w:val="20"/>
      <w:lang w:eastAsia="fr-FR"/>
    </w:rPr>
  </w:style>
  <w:style w:type="character" w:customStyle="1" w:styleId="ui-provider">
    <w:name w:val="ui-provider"/>
    <w:basedOn w:val="Policepardfaut"/>
    <w:rsid w:val="00F63F32"/>
  </w:style>
  <w:style w:type="paragraph" w:styleId="NormalWeb">
    <w:name w:val="Normal (Web)"/>
    <w:basedOn w:val="Normal"/>
    <w:uiPriority w:val="99"/>
    <w:semiHidden/>
    <w:unhideWhenUsed/>
    <w:rsid w:val="00897AA5"/>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2102">
      <w:bodyDiv w:val="1"/>
      <w:marLeft w:val="0"/>
      <w:marRight w:val="0"/>
      <w:marTop w:val="0"/>
      <w:marBottom w:val="0"/>
      <w:divBdr>
        <w:top w:val="none" w:sz="0" w:space="0" w:color="auto"/>
        <w:left w:val="none" w:sz="0" w:space="0" w:color="auto"/>
        <w:bottom w:val="none" w:sz="0" w:space="0" w:color="auto"/>
        <w:right w:val="none" w:sz="0" w:space="0" w:color="auto"/>
      </w:divBdr>
    </w:div>
    <w:div w:id="615258443">
      <w:bodyDiv w:val="1"/>
      <w:marLeft w:val="0"/>
      <w:marRight w:val="0"/>
      <w:marTop w:val="0"/>
      <w:marBottom w:val="0"/>
      <w:divBdr>
        <w:top w:val="none" w:sz="0" w:space="0" w:color="auto"/>
        <w:left w:val="none" w:sz="0" w:space="0" w:color="auto"/>
        <w:bottom w:val="none" w:sz="0" w:space="0" w:color="auto"/>
        <w:right w:val="none" w:sz="0" w:space="0" w:color="auto"/>
      </w:divBdr>
    </w:div>
    <w:div w:id="815029182">
      <w:bodyDiv w:val="1"/>
      <w:marLeft w:val="0"/>
      <w:marRight w:val="0"/>
      <w:marTop w:val="0"/>
      <w:marBottom w:val="0"/>
      <w:divBdr>
        <w:top w:val="none" w:sz="0" w:space="0" w:color="auto"/>
        <w:left w:val="none" w:sz="0" w:space="0" w:color="auto"/>
        <w:bottom w:val="none" w:sz="0" w:space="0" w:color="auto"/>
        <w:right w:val="none" w:sz="0" w:space="0" w:color="auto"/>
      </w:divBdr>
    </w:div>
    <w:div w:id="1188250578">
      <w:bodyDiv w:val="1"/>
      <w:marLeft w:val="0"/>
      <w:marRight w:val="0"/>
      <w:marTop w:val="0"/>
      <w:marBottom w:val="0"/>
      <w:divBdr>
        <w:top w:val="none" w:sz="0" w:space="0" w:color="auto"/>
        <w:left w:val="none" w:sz="0" w:space="0" w:color="auto"/>
        <w:bottom w:val="none" w:sz="0" w:space="0" w:color="auto"/>
        <w:right w:val="none" w:sz="0" w:space="0" w:color="auto"/>
      </w:divBdr>
    </w:div>
    <w:div w:id="1312368480">
      <w:bodyDiv w:val="1"/>
      <w:marLeft w:val="0"/>
      <w:marRight w:val="0"/>
      <w:marTop w:val="0"/>
      <w:marBottom w:val="0"/>
      <w:divBdr>
        <w:top w:val="none" w:sz="0" w:space="0" w:color="auto"/>
        <w:left w:val="none" w:sz="0" w:space="0" w:color="auto"/>
        <w:bottom w:val="none" w:sz="0" w:space="0" w:color="auto"/>
        <w:right w:val="none" w:sz="0" w:space="0" w:color="auto"/>
      </w:divBdr>
    </w:div>
    <w:div w:id="180558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afo.org/centre-de-ressources/les-chiffres-de-luna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ees.solidarites-sante.gouv.fr/publications/les-dossiers-de-la-drees/le-logement-adapte-un-tremplin-vers-le-logement-ordinai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ees.solidarites-sante.gouv.fr/article/groupe-detudes-analyses-quantitatives-sur-lhebergement-social-et-les-sans-domiciles" TargetMode="External"/><Relationship Id="rId11" Type="http://schemas.openxmlformats.org/officeDocument/2006/relationships/hyperlink" Target="https://www.gouvernement.fr/organisation/delegation-interministerielle-a-l-hebergement-et-a-l-acces-au-logement/chiffres-cles-0" TargetMode="External"/><Relationship Id="rId5" Type="http://schemas.openxmlformats.org/officeDocument/2006/relationships/image" Target="media/image1.jpeg"/><Relationship Id="rId10" Type="http://schemas.openxmlformats.org/officeDocument/2006/relationships/hyperlink" Target="https://www.gouvernement.fr/actualite/nombre-de-personnes-sans-domicile" TargetMode="External"/><Relationship Id="rId4" Type="http://schemas.openxmlformats.org/officeDocument/2006/relationships/webSettings" Target="webSettings.xml"/><Relationship Id="rId9" Type="http://schemas.openxmlformats.org/officeDocument/2006/relationships/hyperlink" Target="https://www.unafo.org/centre-de-ressources/profils-et-parcours-des-personnes-logees-edition-20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1553</Words>
  <Characters>8543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LARDOUX, Carole (DREES/OS/LCE/EXTERNES)</dc:creator>
  <cp:keywords/>
  <dc:description/>
  <cp:lastModifiedBy>LARDOUX, Carole (DREES/OSOL/BLCE/EXTERNES)</cp:lastModifiedBy>
  <cp:revision>2</cp:revision>
  <dcterms:created xsi:type="dcterms:W3CDTF">2024-06-14T14:10:00Z</dcterms:created>
  <dcterms:modified xsi:type="dcterms:W3CDTF">2024-06-14T14:10:00Z</dcterms:modified>
</cp:coreProperties>
</file>